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CF619">
      <w:pPr>
        <w:jc w:val="center"/>
        <w:rPr>
          <w:rFonts w:hint="default" w:ascii="Times New Roman Regular" w:hAnsi="Times New Roman Regular" w:cs="Times New Roman Regular"/>
          <w:b w:val="0"/>
          <w:bCs/>
          <w:sz w:val="36"/>
          <w:szCs w:val="36"/>
        </w:rPr>
      </w:pPr>
      <w:r>
        <w:rPr>
          <w:rFonts w:hint="default" w:ascii="Times New Roman Regular" w:hAnsi="Times New Roman Regular" w:cs="Times New Roman Regular"/>
          <w:b w:val="0"/>
          <w:bCs/>
          <w:sz w:val="36"/>
          <w:szCs w:val="36"/>
        </w:rPr>
        <w:t>Portfolio Proposal</w:t>
      </w:r>
      <w:r>
        <w:rPr>
          <w:rFonts w:hint="default" w:ascii="Times New Roman Regular" w:hAnsi="Times New Roman Regular" w:cs="Times New Roman Regular"/>
          <w:b w:val="0"/>
          <w:bCs/>
          <w:sz w:val="36"/>
          <w:szCs w:val="36"/>
          <w:lang w:val="en-US"/>
        </w:rPr>
        <w:t>:</w:t>
      </w:r>
      <w:r>
        <w:rPr>
          <w:rFonts w:hint="default" w:ascii="Times New Roman Regular" w:hAnsi="Times New Roman Regular" w:cs="Times New Roman Regular"/>
          <w:b w:val="0"/>
          <w:bCs/>
          <w:sz w:val="36"/>
          <w:szCs w:val="36"/>
        </w:rPr>
        <w:t>Deaf Music Festival</w:t>
      </w:r>
      <w:r>
        <w:rPr>
          <w:rFonts w:hint="default" w:ascii="Times New Roman Regular" w:hAnsi="Times New Roman Regular" w:cs="Times New Roman Regular"/>
          <w:b w:val="0"/>
          <w:bCs/>
          <w:sz w:val="36"/>
          <w:szCs w:val="36"/>
          <w:lang w:val="en-US"/>
        </w:rPr>
        <w:t xml:space="preserve"> in Melbroune</w:t>
      </w:r>
      <w:r>
        <w:rPr>
          <w:rFonts w:hint="default" w:ascii="Times New Roman Regular" w:hAnsi="Times New Roman Regular" w:cs="Times New Roman Regular"/>
          <w:b w:val="0"/>
          <w:bCs/>
          <w:sz w:val="36"/>
          <w:szCs w:val="36"/>
        </w:rPr>
        <w:t xml:space="preserve"> - A Sensory Music Experience for the Deaf and Hard of Hearing</w:t>
      </w:r>
    </w:p>
    <w:p w14:paraId="252920E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Regular" w:hAnsi="Times New Roman Regular" w:cs="Times New Roman Regular"/>
          <w:b w:val="0"/>
          <w:bCs/>
          <w:sz w:val="28"/>
          <w:szCs w:val="28"/>
        </w:rPr>
      </w:pPr>
      <w:r>
        <w:rPr>
          <w:rFonts w:hint="default" w:ascii="Times New Roman Regular" w:hAnsi="Times New Roman Regular" w:cs="Times New Roman Regular"/>
          <w:b w:val="0"/>
          <w:bCs/>
          <w:sz w:val="28"/>
          <w:szCs w:val="28"/>
        </w:rPr>
        <w:t xml:space="preserve">The Deaf Music Festival (DMF) is an innovative reimagining of music festivals that allows everyone to feel the energy and excitement of live music, regardless of hearing. In Australia, </w:t>
      </w:r>
      <w:r>
        <w:rPr>
          <w:rFonts w:hint="default" w:ascii="Times New Roman Regular" w:hAnsi="Times New Roman Regular" w:cs="Times New Roman Regular"/>
          <w:b w:val="0"/>
          <w:bCs/>
          <w:sz w:val="28"/>
          <w:szCs w:val="28"/>
          <w:lang w:val="en-US"/>
        </w:rPr>
        <w:t>d</w:t>
      </w:r>
      <w:r>
        <w:rPr>
          <w:rFonts w:hint="default" w:ascii="Times New Roman Regular" w:hAnsi="Times New Roman Regular" w:cs="Times New Roman Regular"/>
          <w:b w:val="0"/>
          <w:bCs/>
          <w:sz w:val="28"/>
          <w:szCs w:val="28"/>
        </w:rPr>
        <w:t>eaf art is one of the most underrepresented areas of disability, and deaf music as part of the arts suffers from the same dilemma</w:t>
      </w:r>
      <w:r>
        <w:rPr>
          <w:rFonts w:hint="default" w:ascii="Times New Roman Regular" w:hAnsi="Times New Roman Regular" w:cs="Times New Roman Regular"/>
          <w:b w:val="0"/>
          <w:bCs/>
          <w:sz w:val="28"/>
          <w:szCs w:val="28"/>
          <w:lang w:val="en-US"/>
        </w:rPr>
        <w:t xml:space="preserve"> (Missingham and Hadley 2022:310), so </w:t>
      </w:r>
      <w:r>
        <w:rPr>
          <w:rFonts w:hint="default" w:ascii="Times New Roman Regular" w:hAnsi="Times New Roman Regular" w:cs="Times New Roman Regular"/>
          <w:b w:val="0"/>
          <w:bCs/>
          <w:sz w:val="28"/>
          <w:szCs w:val="28"/>
        </w:rPr>
        <w:t xml:space="preserve">a powerful movement is </w:t>
      </w:r>
      <w:r>
        <w:rPr>
          <w:rFonts w:hint="eastAsia" w:ascii="Times New Roman Regular" w:hAnsi="Times New Roman Regular" w:cs="Times New Roman Regular"/>
          <w:b w:val="0"/>
          <w:bCs/>
          <w:sz w:val="28"/>
          <w:szCs w:val="28"/>
          <w:lang w:val="en-US" w:eastAsia="zh-CN"/>
        </w:rPr>
        <w:t>ne</w:t>
      </w:r>
      <w:r>
        <w:rPr>
          <w:rFonts w:hint="default" w:ascii="Times New Roman Regular" w:hAnsi="Times New Roman Regular" w:cs="Times New Roman Regular"/>
          <w:b w:val="0"/>
          <w:bCs/>
          <w:sz w:val="28"/>
          <w:szCs w:val="28"/>
          <w:lang w:val="en-US" w:eastAsia="zh-CN"/>
        </w:rPr>
        <w:t>eded</w:t>
      </w:r>
      <w:r>
        <w:rPr>
          <w:rFonts w:hint="default" w:ascii="Times New Roman Regular" w:hAnsi="Times New Roman Regular" w:cs="Times New Roman Regular"/>
          <w:b w:val="0"/>
          <w:bCs/>
          <w:sz w:val="28"/>
          <w:szCs w:val="28"/>
        </w:rPr>
        <w:t xml:space="preserve"> to build a more inclusive cultural landscape that emphasizes community connections that go beyond basic accessibility.</w:t>
      </w:r>
      <w:r>
        <w:rPr>
          <w:rFonts w:hint="eastAsia" w:ascii="Times New Roman Regular" w:hAnsi="Times New Roman Regular" w:cs="Times New Roman Regular"/>
          <w:b w:val="0"/>
          <w:bCs/>
          <w:sz w:val="28"/>
          <w:szCs w:val="28"/>
          <w:lang w:val="en-US" w:eastAsia="zh-CN"/>
        </w:rPr>
        <w:t xml:space="preserve"> </w:t>
      </w:r>
      <w:r>
        <w:rPr>
          <w:rFonts w:hint="default" w:ascii="Times New Roman Regular" w:hAnsi="Times New Roman Regular" w:cs="Times New Roman Regular"/>
          <w:b w:val="0"/>
          <w:bCs/>
          <w:sz w:val="28"/>
          <w:szCs w:val="28"/>
        </w:rPr>
        <w:t>According to Gaupp (2020:128), festival curators act as gatekeepers, often defining what is "legitimate" in art and culture. The hosting of the DMF will play an important role by positioning itself as an advocate for inclusivity, with music festivals often abiding by established norms and favoring audience-centric classics to the exclusion of other modes of expression and communication that the DMF aims to address key gaps.</w:t>
      </w:r>
    </w:p>
    <w:p w14:paraId="50DAA4B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Regular" w:hAnsi="Times New Roman Regular" w:cs="Times New Roman Regular"/>
          <w:b w:val="0"/>
          <w:bCs/>
          <w:sz w:val="28"/>
          <w:szCs w:val="28"/>
          <w:lang w:val="en-US"/>
        </w:rPr>
      </w:pPr>
      <w:r>
        <w:rPr>
          <w:rFonts w:hint="eastAsia" w:ascii="Times New Roman Regular" w:hAnsi="Times New Roman Regular" w:cs="Times New Roman Regular"/>
          <w:b w:val="0"/>
          <w:bCs/>
          <w:sz w:val="28"/>
          <w:szCs w:val="28"/>
          <w:lang w:val="en-US" w:eastAsia="zh-CN"/>
        </w:rPr>
        <w:t>It</w:t>
      </w:r>
      <w:r>
        <w:rPr>
          <w:rFonts w:hint="default" w:ascii="Times New Roman Regular" w:hAnsi="Times New Roman Regular" w:cs="Times New Roman Regular"/>
          <w:b w:val="0"/>
          <w:bCs/>
          <w:sz w:val="28"/>
          <w:szCs w:val="28"/>
          <w:lang w:val="en-US" w:eastAsia="zh-CN"/>
        </w:rPr>
        <w:t>’</w:t>
      </w:r>
      <w:r>
        <w:rPr>
          <w:rFonts w:hint="eastAsia" w:ascii="Times New Roman Regular" w:hAnsi="Times New Roman Regular" w:cs="Times New Roman Regular"/>
          <w:b w:val="0"/>
          <w:bCs/>
          <w:sz w:val="28"/>
          <w:szCs w:val="28"/>
          <w:lang w:val="en-US" w:eastAsia="zh-CN"/>
        </w:rPr>
        <w:t>s worth noting that a</w:t>
      </w:r>
      <w:r>
        <w:rPr>
          <w:rFonts w:hint="default" w:ascii="Times New Roman Regular" w:hAnsi="Times New Roman Regular" w:cs="Times New Roman Regular"/>
          <w:b w:val="0"/>
          <w:bCs/>
          <w:sz w:val="28"/>
          <w:szCs w:val="28"/>
          <w:lang w:val="en-US"/>
        </w:rPr>
        <w:t xml:space="preserve">ccording to </w:t>
      </w:r>
      <w:r>
        <w:rPr>
          <w:rFonts w:hint="default" w:ascii="Times New Roman Regular" w:hAnsi="Times New Roman Regular" w:cs="Times New Roman Regular"/>
          <w:b w:val="0"/>
          <w:bCs/>
          <w:sz w:val="28"/>
          <w:szCs w:val="28"/>
          <w:lang w:val="en-US" w:eastAsia="zh-CN"/>
        </w:rPr>
        <w:t xml:space="preserve">Get Skilled Access (2024), </w:t>
      </w:r>
      <w:r>
        <w:rPr>
          <w:rFonts w:hint="default" w:ascii="Times New Roman Regular" w:hAnsi="Times New Roman Regular" w:cs="Times New Roman Regular"/>
          <w:b w:val="0"/>
          <w:bCs/>
          <w:sz w:val="28"/>
          <w:szCs w:val="28"/>
        </w:rPr>
        <w:t>more than one in six Australians suffering from some degree of hearing loss, the importance of accessibility in music and cultural activities cannot be overstated. Recent research, including the Music Society of Victoria's 2023 Accessible Music Venues Report and Audience Outlook Monitor, identifies a number of barriers faced by audiences, ranging from physical and communication challenges to social and economic barriers. These findings highlight a gap in the cultural economy, where existing activities often exclude those who could benefit most from inclusive design. DMF has responded to this need by introducing a music festival that caters to a wide range of sensory experiences, transforming music into a shared, multi-dimensional art form</w:t>
      </w:r>
      <w:r>
        <w:rPr>
          <w:rFonts w:hint="default" w:ascii="Times New Roman Regular" w:hAnsi="Times New Roman Regular" w:cs="Times New Roman Regular"/>
          <w:b w:val="0"/>
          <w:bCs/>
          <w:sz w:val="28"/>
          <w:szCs w:val="28"/>
          <w:lang w:val="en-US"/>
        </w:rPr>
        <w:t xml:space="preserve"> (</w:t>
      </w:r>
      <w:r>
        <w:rPr>
          <w:rFonts w:hint="default" w:ascii="Times New Roman Regular" w:hAnsi="Times New Roman Regular" w:cs="Times New Roman Regular"/>
          <w:b w:val="0"/>
          <w:bCs/>
          <w:sz w:val="28"/>
          <w:szCs w:val="28"/>
          <w:lang w:val="en-US" w:eastAsia="zh-CN"/>
        </w:rPr>
        <w:t>Get Skilled Access 2024).</w:t>
      </w:r>
    </w:p>
    <w:p w14:paraId="4F688EA0">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Regular" w:hAnsi="Times New Roman Regular" w:eastAsia="黑体" w:cs="Times New Roman Regular"/>
          <w:b w:val="0"/>
          <w:bCs/>
          <w:sz w:val="28"/>
          <w:szCs w:val="28"/>
          <w:lang w:val="en-US" w:eastAsia="zh-CN"/>
        </w:rPr>
      </w:pPr>
      <w:r>
        <w:rPr>
          <w:rFonts w:hint="default" w:ascii="Times New Roman Regular" w:hAnsi="Times New Roman Regular" w:cs="Times New Roman Regular"/>
          <w:b w:val="0"/>
          <w:bCs/>
          <w:sz w:val="28"/>
          <w:szCs w:val="28"/>
          <w:lang w:val="en-US"/>
        </w:rPr>
        <w:drawing>
          <wp:anchor distT="0" distB="0" distL="114300" distR="114300" simplePos="0" relativeHeight="251660288" behindDoc="0" locked="0" layoutInCell="1" allowOverlap="1">
            <wp:simplePos x="0" y="0"/>
            <wp:positionH relativeFrom="column">
              <wp:posOffset>110490</wp:posOffset>
            </wp:positionH>
            <wp:positionV relativeFrom="paragraph">
              <wp:posOffset>10160</wp:posOffset>
            </wp:positionV>
            <wp:extent cx="5267325" cy="3139440"/>
            <wp:effectExtent l="0" t="0" r="15875" b="10160"/>
            <wp:wrapTopAndBottom/>
            <wp:docPr id="1" name="图片 1" descr="截屏2024-11-02 01.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屏2024-11-02 01.57.43"/>
                    <pic:cNvPicPr>
                      <a:picLocks noChangeAspect="1"/>
                    </pic:cNvPicPr>
                  </pic:nvPicPr>
                  <pic:blipFill>
                    <a:blip r:embed="rId4"/>
                    <a:stretch>
                      <a:fillRect/>
                    </a:stretch>
                  </pic:blipFill>
                  <pic:spPr>
                    <a:xfrm>
                      <a:off x="0" y="0"/>
                      <a:ext cx="5267325" cy="3139440"/>
                    </a:xfrm>
                    <a:prstGeom prst="rect">
                      <a:avLst/>
                    </a:prstGeom>
                  </pic:spPr>
                </pic:pic>
              </a:graphicData>
            </a:graphic>
          </wp:anchor>
        </w:drawing>
      </w:r>
      <w:r>
        <w:rPr>
          <w:rFonts w:hint="default" w:ascii="Times New Roman Regular" w:hAnsi="Times New Roman Regular" w:cs="Times New Roman Regular"/>
        </w:rPr>
        <w:t xml:space="preserve">Figure </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SEQ Figure \* ARABIC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1</w:t>
      </w:r>
      <w:r>
        <w:rPr>
          <w:rFonts w:hint="default" w:ascii="Times New Roman Regular" w:hAnsi="Times New Roman Regular" w:cs="Times New Roman Regular"/>
        </w:rPr>
        <w:fldChar w:fldCharType="end"/>
      </w:r>
      <w:r>
        <w:rPr>
          <w:rFonts w:hint="default" w:ascii="Times New Roman Regular" w:hAnsi="Times New Roman Regular" w:cs="Times New Roman Regular"/>
          <w:lang w:eastAsia="zh-CN"/>
        </w:rPr>
        <w:t>：Image taken from A report on the City of Melbourne and City of Yarra Accessible Music Venues project</w:t>
      </w:r>
      <w:r>
        <w:rPr>
          <w:rFonts w:hint="default" w:ascii="Times New Roman Regular" w:hAnsi="Times New Roman Regular" w:cs="Times New Roman Regular"/>
          <w:lang w:val="en-US" w:eastAsia="zh-CN"/>
        </w:rPr>
        <w:t xml:space="preserve">. (page 8) </w:t>
      </w:r>
      <w:r>
        <w:rPr>
          <w:rFonts w:hint="default"/>
          <w:lang w:val="en-US" w:eastAsia="zh-CN"/>
        </w:rPr>
        <w:fldChar w:fldCharType="begin"/>
      </w:r>
      <w:r>
        <w:rPr>
          <w:rFonts w:hint="default"/>
          <w:lang w:val="en-US" w:eastAsia="zh-CN"/>
        </w:rPr>
        <w:instrText xml:space="preserve"> HYPERLINK "https://app.immersivetranslate.com/pdf/" </w:instrText>
      </w:r>
      <w:r>
        <w:rPr>
          <w:rFonts w:hint="default"/>
          <w:lang w:val="en-US" w:eastAsia="zh-CN"/>
        </w:rPr>
        <w:fldChar w:fldCharType="separate"/>
      </w:r>
      <w:r>
        <w:rPr>
          <w:rStyle w:val="6"/>
          <w:rFonts w:hint="default"/>
          <w:lang w:val="en-US" w:eastAsia="zh-CN"/>
        </w:rPr>
        <w:t>https://app.immersivetranslate.com/pdf/</w:t>
      </w:r>
      <w:r>
        <w:rPr>
          <w:rFonts w:hint="default"/>
          <w:lang w:val="en-US" w:eastAsia="zh-CN"/>
        </w:rPr>
        <w:fldChar w:fldCharType="end"/>
      </w:r>
    </w:p>
    <w:p w14:paraId="4252E1DE">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Regular" w:hAnsi="Times New Roman Regular" w:cs="Times New Roman Regular"/>
          <w:b w:val="0"/>
          <w:bCs/>
          <w:sz w:val="28"/>
          <w:szCs w:val="28"/>
        </w:rPr>
      </w:pPr>
      <w:r>
        <w:rPr>
          <w:rFonts w:hint="default" w:ascii="Times New Roman Regular" w:hAnsi="Times New Roman Regular" w:cs="Times New Roman Regular"/>
          <w:b w:val="0"/>
          <w:bCs/>
          <w:sz w:val="28"/>
          <w:szCs w:val="28"/>
        </w:rPr>
        <w:t xml:space="preserve">Accessibility features that support cultural activities can also generate significant economic and social </w:t>
      </w:r>
      <w:r>
        <w:rPr>
          <w:rFonts w:hint="default" w:ascii="Times New Roman Regular" w:hAnsi="Times New Roman Regular" w:cs="Times New Roman Regular"/>
          <w:b w:val="0"/>
          <w:bCs/>
          <w:sz w:val="28"/>
          <w:szCs w:val="28"/>
          <w:lang w:val="en-US"/>
        </w:rPr>
        <w:t xml:space="preserve">cultrual </w:t>
      </w:r>
      <w:r>
        <w:rPr>
          <w:rFonts w:hint="default" w:ascii="Times New Roman Regular" w:hAnsi="Times New Roman Regular" w:cs="Times New Roman Regular"/>
          <w:b w:val="0"/>
          <w:bCs/>
          <w:sz w:val="28"/>
          <w:szCs w:val="28"/>
        </w:rPr>
        <w:t>returns. The World Health Organization reports that every dollar invested in hearing care can yield a return of up to $16, highlighting the value of inclusive initiatives</w:t>
      </w:r>
      <w:r>
        <w:rPr>
          <w:rFonts w:hint="default" w:ascii="Times New Roman Regular" w:hAnsi="Times New Roman Regular" w:cs="Times New Roman Regular"/>
          <w:b w:val="0"/>
          <w:bCs/>
          <w:sz w:val="28"/>
          <w:szCs w:val="28"/>
          <w:lang w:val="en-US"/>
        </w:rPr>
        <w:t xml:space="preserve"> </w:t>
      </w:r>
      <w:r>
        <w:rPr>
          <w:rFonts w:hint="default" w:ascii="Times New Roman Regular" w:hAnsi="Times New Roman Regular" w:cs="Times New Roman Regular"/>
          <w:b w:val="0"/>
          <w:bCs/>
          <w:sz w:val="28"/>
          <w:szCs w:val="28"/>
          <w:lang w:val="en-US"/>
        </w:rPr>
        <w:t>(</w:t>
      </w:r>
      <w:r>
        <w:rPr>
          <w:rFonts w:hint="default" w:ascii="Times New Roman Regular" w:hAnsi="Times New Roman Regular" w:cs="Times New Roman Regular"/>
          <w:b w:val="0"/>
          <w:bCs/>
          <w:sz w:val="28"/>
          <w:szCs w:val="28"/>
          <w:lang w:val="en-US" w:eastAsia="zh-CN"/>
        </w:rPr>
        <w:t xml:space="preserve">Get Skilled Access 2024). </w:t>
      </w:r>
      <w:r>
        <w:rPr>
          <w:rFonts w:hint="default" w:ascii="Times New Roman Regular" w:hAnsi="Times New Roman Regular" w:cs="Times New Roman Regular"/>
          <w:b w:val="0"/>
          <w:bCs/>
          <w:sz w:val="28"/>
          <w:szCs w:val="28"/>
        </w:rPr>
        <w:t>Music is a universal language, and DMF embraces this by providing attendees with multiple ways to connect through visual presentations, tactile experiences, vibrations, and even dance.</w:t>
      </w:r>
    </w:p>
    <w:p w14:paraId="54BDC3A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Regular" w:hAnsi="Times New Roman Regular" w:cs="Times New Roman Regular"/>
          <w:b w:val="0"/>
          <w:bCs/>
          <w:sz w:val="28"/>
          <w:szCs w:val="28"/>
        </w:rPr>
      </w:pPr>
      <w:r>
        <w:rPr>
          <w:rFonts w:hint="default" w:ascii="Times New Roman Regular" w:hAnsi="Times New Roman Regular" w:cs="Times New Roman Regular"/>
          <w:b w:val="0"/>
          <w:bCs/>
          <w:sz w:val="28"/>
          <w:szCs w:val="28"/>
        </w:rPr>
        <w:t xml:space="preserve">Historically, </w:t>
      </w:r>
      <w:r>
        <w:rPr>
          <w:rFonts w:hint="default" w:ascii="Times New Roman Regular" w:hAnsi="Times New Roman Regular" w:cs="Times New Roman Regular"/>
          <w:b w:val="0"/>
          <w:bCs/>
          <w:sz w:val="28"/>
          <w:szCs w:val="28"/>
          <w:lang w:val="en-US"/>
        </w:rPr>
        <w:t>t</w:t>
      </w:r>
      <w:r>
        <w:rPr>
          <w:rFonts w:hint="default" w:ascii="Times New Roman Regular" w:hAnsi="Times New Roman Regular" w:cs="Times New Roman Regular"/>
          <w:b w:val="0"/>
          <w:bCs/>
          <w:sz w:val="28"/>
          <w:szCs w:val="28"/>
        </w:rPr>
        <w:t>he habitual default of the public is that music can only be accessed by people who are able to hear it. However, the enjoyment of music does not depend solely on hearing ability</w:t>
      </w:r>
      <w:r>
        <w:rPr>
          <w:rFonts w:hint="default" w:ascii="Times New Roman Regular" w:hAnsi="Times New Roman Regular" w:cs="Times New Roman Regular"/>
          <w:b w:val="0"/>
          <w:bCs/>
          <w:sz w:val="28"/>
          <w:szCs w:val="28"/>
          <w:lang w:val="en-US"/>
        </w:rPr>
        <w:t xml:space="preserve">, </w:t>
      </w:r>
      <w:r>
        <w:rPr>
          <w:rFonts w:hint="default" w:ascii="Times New Roman Regular" w:hAnsi="Times New Roman Regular" w:cs="Times New Roman Regular"/>
          <w:b w:val="0"/>
          <w:bCs/>
          <w:sz w:val="28"/>
          <w:szCs w:val="28"/>
        </w:rPr>
        <w:t>it can be felt by the deaf community through visual and kinesthetic senses</w:t>
      </w:r>
      <w:r>
        <w:rPr>
          <w:rFonts w:hint="default" w:ascii="Times New Roman Regular" w:hAnsi="Times New Roman Regular" w:cs="Times New Roman Regular"/>
          <w:b w:val="0"/>
          <w:bCs/>
          <w:sz w:val="28"/>
          <w:szCs w:val="28"/>
          <w:lang w:val="en-US"/>
        </w:rPr>
        <w:t xml:space="preserve"> (</w:t>
      </w:r>
      <w:r>
        <w:rPr>
          <w:rFonts w:hint="default" w:ascii="Times New Roman Regular" w:hAnsi="Times New Roman Regular" w:eastAsia="serif" w:cs="Times New Roman Regular"/>
          <w:i w:val="0"/>
          <w:iCs w:val="0"/>
          <w:caps w:val="0"/>
          <w:color w:val="000000"/>
          <w:spacing w:val="0"/>
          <w:kern w:val="0"/>
          <w:sz w:val="25"/>
          <w:szCs w:val="25"/>
          <w:shd w:val="clear" w:fill="FFFFFF"/>
          <w:lang w:val="en-US" w:eastAsia="zh-CN" w:bidi="ar"/>
        </w:rPr>
        <w:t>Rebecca 2024).</w:t>
      </w:r>
      <w:r>
        <w:rPr>
          <w:rFonts w:hint="default" w:ascii="Times New Roman Regular" w:hAnsi="Times New Roman Regular" w:cs="Times New Roman Regular"/>
          <w:b w:val="0"/>
          <w:bCs/>
          <w:sz w:val="28"/>
          <w:szCs w:val="28"/>
        </w:rPr>
        <w:t xml:space="preserve"> DMF breaks with this tradition and establishes a model in which sensory diversity and inclusion are at the heart of the music festival experience. By providing multi-sensory programs that enable people to interact with music in fresh, innovative ways, DMF addresses an important need in Australia's cultural economy and sets a new benchmark for inclusion in the arts.</w:t>
      </w:r>
    </w:p>
    <w:p w14:paraId="63B3EE6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rPr>
        <w:t>P</w:t>
      </w:r>
      <w:r>
        <w:rPr>
          <w:rFonts w:hint="default" w:ascii="Times New Roman Bold" w:hAnsi="Times New Roman Bold" w:cs="Times New Roman Bold"/>
          <w:b/>
          <w:bCs w:val="0"/>
          <w:sz w:val="28"/>
          <w:szCs w:val="28"/>
          <w:lang w:val="en-US" w:eastAsia="zh-CN"/>
        </w:rPr>
        <w:t>rograms</w:t>
      </w:r>
    </w:p>
    <w:p w14:paraId="6F190B5D">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anchor distT="0" distB="0" distL="114300" distR="114300" simplePos="0" relativeHeight="251661312" behindDoc="0" locked="0" layoutInCell="1" allowOverlap="1">
            <wp:simplePos x="0" y="0"/>
            <wp:positionH relativeFrom="column">
              <wp:posOffset>236855</wp:posOffset>
            </wp:positionH>
            <wp:positionV relativeFrom="paragraph">
              <wp:posOffset>71755</wp:posOffset>
            </wp:positionV>
            <wp:extent cx="4961255" cy="2787650"/>
            <wp:effectExtent l="0" t="0" r="17145" b="6350"/>
            <wp:wrapTopAndBottom/>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4961255" cy="2787650"/>
                    </a:xfrm>
                    <a:prstGeom prst="rect">
                      <a:avLst/>
                    </a:prstGeom>
                    <a:noFill/>
                    <a:ln w="9525">
                      <a:noFill/>
                    </a:ln>
                  </pic:spPr>
                </pic:pic>
              </a:graphicData>
            </a:graphic>
          </wp:anchor>
        </w:drawing>
      </w:r>
    </w:p>
    <w:p w14:paraId="68D9E5E2">
      <w:pPr>
        <w:keepNext w:val="0"/>
        <w:keepLines w:val="0"/>
        <w:widowControl/>
        <w:suppressLineNumbers w:val="0"/>
        <w:jc w:val="left"/>
        <w:rPr>
          <w:rFonts w:hint="default" w:ascii="Times New Roman Regular" w:hAnsi="Times New Roman Regular" w:cs="Times New Roman Regular"/>
          <w:b w:val="0"/>
          <w:lang w:val="en-US" w:eastAsia="zh-CN"/>
        </w:rPr>
      </w:pPr>
      <w:r>
        <w:rPr>
          <w:rFonts w:hint="default" w:ascii="Times New Roman Regular" w:hAnsi="Times New Roman Regular" w:cs="Times New Roman Regular"/>
          <w:b w:val="0"/>
        </w:rPr>
        <w:t xml:space="preserve">Figure </w:t>
      </w:r>
      <w:r>
        <w:rPr>
          <w:rFonts w:hint="default" w:ascii="Times New Roman Regular" w:hAnsi="Times New Roman Regular" w:cs="Times New Roman Regular"/>
          <w:b w:val="0"/>
        </w:rPr>
        <w:fldChar w:fldCharType="begin"/>
      </w:r>
      <w:r>
        <w:rPr>
          <w:rFonts w:hint="default" w:ascii="Times New Roman Regular" w:hAnsi="Times New Roman Regular" w:cs="Times New Roman Regular"/>
          <w:b w:val="0"/>
        </w:rPr>
        <w:instrText xml:space="preserve"> SEQ Figure \* ARABIC </w:instrText>
      </w:r>
      <w:r>
        <w:rPr>
          <w:rFonts w:hint="default" w:ascii="Times New Roman Regular" w:hAnsi="Times New Roman Regular" w:cs="Times New Roman Regular"/>
          <w:b w:val="0"/>
        </w:rPr>
        <w:fldChar w:fldCharType="separate"/>
      </w:r>
      <w:r>
        <w:rPr>
          <w:rFonts w:hint="default" w:ascii="Times New Roman Regular" w:hAnsi="Times New Roman Regular" w:cs="Times New Roman Regular"/>
          <w:b w:val="0"/>
        </w:rPr>
        <w:t>2</w:t>
      </w:r>
      <w:r>
        <w:rPr>
          <w:rFonts w:hint="default" w:ascii="Times New Roman Regular" w:hAnsi="Times New Roman Regular" w:cs="Times New Roman Regular"/>
          <w:b w:val="0"/>
        </w:rPr>
        <w:fldChar w:fldCharType="end"/>
      </w:r>
      <w:r>
        <w:rPr>
          <w:rFonts w:hint="default" w:ascii="Times New Roman Regular" w:hAnsi="Times New Roman Regular" w:cs="Times New Roman Regular"/>
          <w:b w:val="0"/>
          <w:lang w:val="en-US"/>
        </w:rPr>
        <w:t>: Deaf people wearing subpac vests at</w:t>
      </w:r>
      <w:r>
        <w:rPr>
          <w:rFonts w:hint="default" w:ascii="Times New Roman Regular" w:hAnsi="Times New Roman Regular" w:cs="Times New Roman Regular"/>
          <w:b w:val="0"/>
          <w:lang w:val="en-US"/>
        </w:rPr>
        <w:t xml:space="preserve"> </w:t>
      </w:r>
      <w:r>
        <w:rPr>
          <w:rFonts w:hint="default" w:ascii="Times New Roman Regular" w:hAnsi="Times New Roman Regular" w:cs="Times New Roman Regular"/>
          <w:b w:val="0"/>
          <w:lang w:val="en-US" w:eastAsia="zh-CN"/>
        </w:rPr>
        <w:t>the International Festival of Arts in Sign Language</w:t>
      </w:r>
    </w:p>
    <w:p w14:paraId="51415BB0">
      <w:pPr>
        <w:keepNext w:val="0"/>
        <w:keepLines w:val="0"/>
        <w:widowControl/>
        <w:suppressLineNumbers w:val="0"/>
        <w:jc w:val="left"/>
        <w:rPr>
          <w:rFonts w:hint="default" w:ascii="Times New Roman Regular" w:hAnsi="Times New Roman Regular" w:cs="Times New Roman Regular"/>
          <w:b w:val="0"/>
          <w:lang w:val="en-US" w:eastAsia="zh-CN"/>
        </w:rPr>
      </w:pPr>
      <w:r>
        <w:rPr>
          <w:rFonts w:hint="default" w:ascii="Times New Roman Regular" w:hAnsi="Times New Roman Regular" w:cs="Times New Roman Regular"/>
          <w:b w:val="0"/>
          <w:lang w:val="en-US" w:eastAsia="zh-CN"/>
        </w:rPr>
        <w:fldChar w:fldCharType="begin"/>
      </w:r>
      <w:r>
        <w:rPr>
          <w:rFonts w:hint="default" w:ascii="Times New Roman Regular" w:hAnsi="Times New Roman Regular" w:cs="Times New Roman Regular"/>
          <w:b w:val="0"/>
          <w:lang w:val="en-US" w:eastAsia="zh-CN"/>
        </w:rPr>
        <w:instrText xml:space="preserve"> HYPERLINK "https://www.timmpi.com/on-a-teste-le-subpac-le-sac-a-dos-pour-profiter-dun-concert-quand-on-est-sourd-propose-par-le-festival-clin-doeil/" </w:instrText>
      </w:r>
      <w:r>
        <w:rPr>
          <w:rFonts w:hint="default" w:ascii="Times New Roman Regular" w:hAnsi="Times New Roman Regular" w:cs="Times New Roman Regular"/>
          <w:b w:val="0"/>
          <w:lang w:val="en-US" w:eastAsia="zh-CN"/>
        </w:rPr>
        <w:fldChar w:fldCharType="separate"/>
      </w:r>
      <w:r>
        <w:rPr>
          <w:rStyle w:val="6"/>
          <w:rFonts w:hint="default" w:ascii="Times New Roman Regular" w:hAnsi="Times New Roman Regular" w:cs="Times New Roman Regular"/>
          <w:b w:val="0"/>
          <w:lang w:val="en-US" w:eastAsia="zh-CN"/>
        </w:rPr>
        <w:t>https://www.timmpi.com/on-a-teste-le-subpac-le-sac-a-dos-pour-profiter-dun-concert-quand-on-est-sourd-propose-par-le-festival-clin-doeil/</w:t>
      </w:r>
      <w:r>
        <w:rPr>
          <w:rFonts w:hint="default" w:ascii="Times New Roman Regular" w:hAnsi="Times New Roman Regular" w:cs="Times New Roman Regular"/>
          <w:b w:val="0"/>
          <w:lang w:val="en-US" w:eastAsia="zh-CN"/>
        </w:rPr>
        <w:fldChar w:fldCharType="end"/>
      </w:r>
    </w:p>
    <w:p w14:paraId="48EC1ED6">
      <w:pPr>
        <w:keepNext w:val="0"/>
        <w:keepLines w:val="0"/>
        <w:widowControl/>
        <w:numPr>
          <w:ilvl w:val="0"/>
          <w:numId w:val="1"/>
        </w:numPr>
        <w:suppressLineNumbers w:val="0"/>
        <w:jc w:val="left"/>
        <w:rPr>
          <w:rFonts w:hint="default" w:ascii="Times New Roman Regular" w:hAnsi="Times New Roman Regular" w:cs="Times New Roman Regular"/>
          <w:b w:val="0"/>
          <w:bCs/>
          <w:sz w:val="28"/>
          <w:szCs w:val="28"/>
        </w:rPr>
      </w:pPr>
      <w:r>
        <w:rPr>
          <w:rFonts w:hint="default" w:ascii="Times New Roman Regular" w:hAnsi="Times New Roman Regular" w:cs="Times New Roman Regular"/>
          <w:b w:val="0"/>
          <w:bCs/>
          <w:sz w:val="28"/>
          <w:szCs w:val="28"/>
        </w:rPr>
        <w:t>Vibration Experience Areas: These areas, set up at various locations within Her Majesty's Theatre, will be equipped with wearable SubPac vests and vibration platforms that will allow attend</w:t>
      </w:r>
      <w:bookmarkStart w:id="0" w:name="_GoBack"/>
      <w:bookmarkEnd w:id="0"/>
      <w:r>
        <w:rPr>
          <w:rFonts w:hint="default" w:ascii="Times New Roman Regular" w:hAnsi="Times New Roman Regular" w:cs="Times New Roman Regular"/>
          <w:b w:val="0"/>
          <w:bCs/>
          <w:sz w:val="28"/>
          <w:szCs w:val="28"/>
        </w:rPr>
        <w:t>ees to feel the beat and rhythm of the music through vibrations. Subpac is a wearable bass responsive amplifier and speaker system that allows deaf people to feel the bass and shape it more accurately</w:t>
      </w:r>
      <w:r>
        <w:rPr>
          <w:rFonts w:hint="default" w:ascii="Times New Roman Regular" w:hAnsi="Times New Roman Regular" w:cs="Times New Roman Regular"/>
          <w:b w:val="0"/>
          <w:bCs/>
          <w:sz w:val="28"/>
          <w:szCs w:val="28"/>
          <w:lang w:val="en-US"/>
        </w:rPr>
        <w:t xml:space="preserve"> (</w:t>
      </w:r>
      <w:r>
        <w:rPr>
          <w:rFonts w:hint="default" w:ascii="Times New Roman Regular" w:hAnsi="Times New Roman Regular" w:cs="Times New Roman Regular"/>
          <w:b w:val="0"/>
          <w:bCs/>
          <w:sz w:val="28"/>
          <w:szCs w:val="28"/>
          <w:lang w:val="en-US" w:eastAsia="zh-CN"/>
        </w:rPr>
        <w:t>Musicradar</w:t>
      </w:r>
      <w:r>
        <w:rPr>
          <w:rFonts w:hint="eastAsia" w:ascii="Times New Roman Regular" w:hAnsi="Times New Roman Regular" w:cs="Times New Roman Regular"/>
          <w:b w:val="0"/>
          <w:bCs/>
          <w:sz w:val="28"/>
          <w:szCs w:val="28"/>
          <w:lang w:val="en-US" w:eastAsia="zh-CN"/>
        </w:rPr>
        <w:t xml:space="preserve"> 2022</w:t>
      </w:r>
      <w:r>
        <w:rPr>
          <w:rFonts w:hint="default" w:ascii="Times New Roman Regular" w:hAnsi="Times New Roman Regular" w:cs="Times New Roman Regular"/>
          <w:b w:val="0"/>
          <w:bCs/>
          <w:sz w:val="28"/>
          <w:szCs w:val="28"/>
          <w:lang w:val="en-US" w:eastAsia="zh-CN"/>
        </w:rPr>
        <w:t xml:space="preserve">). </w:t>
      </w:r>
      <w:r>
        <w:rPr>
          <w:rFonts w:hint="default" w:ascii="Times New Roman Regular" w:hAnsi="Times New Roman Regular" w:cs="Times New Roman Regular"/>
          <w:b w:val="0"/>
          <w:bCs/>
          <w:sz w:val="28"/>
          <w:szCs w:val="28"/>
        </w:rPr>
        <w:t>There are 24 touch points on these wearables, which can be synchronized with the instrument to vibrate with different instruments in the music</w:t>
      </w:r>
      <w:r>
        <w:rPr>
          <w:rFonts w:hint="default" w:ascii="Times New Roman Regular" w:hAnsi="Times New Roman Regular" w:cs="Times New Roman Regular"/>
          <w:b w:val="0"/>
          <w:bCs/>
          <w:sz w:val="28"/>
          <w:szCs w:val="28"/>
          <w:lang w:val="en-US"/>
        </w:rPr>
        <w:t xml:space="preserve"> </w:t>
      </w:r>
      <w:r>
        <w:rPr>
          <w:rFonts w:hint="default" w:ascii="Times New Roman Regular" w:hAnsi="Times New Roman Regular" w:cs="Times New Roman Regular"/>
          <w:b w:val="0"/>
          <w:bCs/>
          <w:sz w:val="28"/>
          <w:szCs w:val="28"/>
          <w:lang w:val="en-US"/>
        </w:rPr>
        <w:t>(</w:t>
      </w:r>
      <w:r>
        <w:rPr>
          <w:rFonts w:hint="default" w:ascii="Times New Roman Regular" w:hAnsi="Times New Roman Regular" w:cs="Times New Roman Regular"/>
          <w:b w:val="0"/>
          <w:bCs/>
          <w:sz w:val="28"/>
          <w:szCs w:val="28"/>
          <w:lang w:val="en-US" w:eastAsia="zh-CN"/>
        </w:rPr>
        <w:t xml:space="preserve">Alex 2023). </w:t>
      </w:r>
      <w:r>
        <w:rPr>
          <w:rFonts w:hint="default" w:ascii="Times New Roman Regular" w:hAnsi="Times New Roman Regular" w:cs="Times New Roman Regular"/>
          <w:b w:val="0"/>
          <w:bCs/>
          <w:sz w:val="28"/>
          <w:szCs w:val="28"/>
        </w:rPr>
        <w:t>Each vibration zone will highlight different genres, including rock, electronic and jazz, offering a diverse vibrational experience that allows participants to connect with the pulse of the music without relying on sound</w:t>
      </w:r>
      <w:r>
        <w:rPr>
          <w:rFonts w:hint="eastAsia" w:ascii="Times New Roman Regular" w:hAnsi="Times New Roman Regular" w:cs="Times New Roman Regular"/>
          <w:b w:val="0"/>
          <w:bCs/>
          <w:sz w:val="28"/>
          <w:szCs w:val="28"/>
          <w:lang w:val="en-US" w:eastAsia="zh-CN"/>
        </w:rPr>
        <w:t xml:space="preserve"> </w:t>
      </w:r>
      <w:r>
        <w:rPr>
          <w:rFonts w:hint="default" w:ascii="Times New Roman Regular" w:hAnsi="Times New Roman Regular" w:cs="Times New Roman Regular"/>
          <w:b w:val="0"/>
          <w:bCs/>
          <w:sz w:val="28"/>
          <w:szCs w:val="28"/>
          <w:lang w:val="en-US" w:eastAsia="zh-CN"/>
        </w:rPr>
        <w:t>(Aker</w:t>
      </w:r>
      <w:r>
        <w:rPr>
          <w:rFonts w:hint="eastAsia" w:ascii="Times New Roman Regular" w:hAnsi="Times New Roman Regular" w:cs="Times New Roman Regular"/>
          <w:b w:val="0"/>
          <w:bCs/>
          <w:sz w:val="28"/>
          <w:szCs w:val="28"/>
          <w:lang w:val="en-US" w:eastAsia="zh-CN"/>
        </w:rPr>
        <w:t xml:space="preserve"> </w:t>
      </w:r>
      <w:r>
        <w:rPr>
          <w:rFonts w:hint="default" w:ascii="Times New Roman Regular" w:hAnsi="Times New Roman Regular" w:cs="Times New Roman Regular"/>
          <w:b w:val="0"/>
          <w:bCs/>
          <w:sz w:val="28"/>
          <w:szCs w:val="28"/>
          <w:lang w:val="en-US" w:eastAsia="zh-CN"/>
        </w:rPr>
        <w:t>et al. 2022:3396).</w:t>
      </w:r>
    </w:p>
    <w:p w14:paraId="342AF0FD">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anchor distT="0" distB="0" distL="114300" distR="114300" simplePos="0" relativeHeight="251659264" behindDoc="0" locked="0" layoutInCell="1" allowOverlap="1">
            <wp:simplePos x="0" y="0"/>
            <wp:positionH relativeFrom="column">
              <wp:posOffset>778510</wp:posOffset>
            </wp:positionH>
            <wp:positionV relativeFrom="paragraph">
              <wp:posOffset>106045</wp:posOffset>
            </wp:positionV>
            <wp:extent cx="3811905" cy="3811905"/>
            <wp:effectExtent l="0" t="0" r="23495" b="23495"/>
            <wp:wrapTopAndBottom/>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6"/>
                    <a:stretch>
                      <a:fillRect/>
                    </a:stretch>
                  </pic:blipFill>
                  <pic:spPr>
                    <a:xfrm>
                      <a:off x="0" y="0"/>
                      <a:ext cx="3811905" cy="3811905"/>
                    </a:xfrm>
                    <a:prstGeom prst="rect">
                      <a:avLst/>
                    </a:prstGeom>
                    <a:noFill/>
                    <a:ln w="9525">
                      <a:noFill/>
                    </a:ln>
                  </pic:spPr>
                </pic:pic>
              </a:graphicData>
            </a:graphic>
          </wp:anchor>
        </w:drawing>
      </w:r>
    </w:p>
    <w:p w14:paraId="3620B9E8">
      <w:pPr>
        <w:pStyle w:val="2"/>
        <w:keepNext w:val="0"/>
        <w:keepLines w:val="0"/>
        <w:widowControl/>
        <w:suppressLineNumbers w:val="0"/>
        <w:jc w:val="left"/>
        <w:rPr>
          <w:rFonts w:hint="default" w:ascii="宋体" w:hAnsi="宋体" w:eastAsia="黑体" w:cs="宋体"/>
          <w:kern w:val="0"/>
          <w:sz w:val="24"/>
          <w:szCs w:val="24"/>
          <w:lang w:val="en-US" w:eastAsia="zh-CN" w:bidi="ar"/>
        </w:rPr>
      </w:pPr>
      <w:r>
        <w:t xml:space="preserve">Figure </w:t>
      </w:r>
      <w:r>
        <w:fldChar w:fldCharType="begin"/>
      </w:r>
      <w:r>
        <w:instrText xml:space="preserve"> SEQ Figure \* ARABIC </w:instrText>
      </w:r>
      <w:r>
        <w:fldChar w:fldCharType="separate"/>
      </w:r>
      <w:r>
        <w:t>3</w:t>
      </w:r>
      <w:r>
        <w:fldChar w:fldCharType="end"/>
      </w:r>
      <w:r>
        <w:rPr>
          <w:rFonts w:hint="eastAsia"/>
          <w:lang w:eastAsia="zh-CN"/>
        </w:rPr>
        <w:t>：Example of sign language music performances at DMF</w:t>
      </w:r>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"https://getskilledaccess.com.au/blog/auslan-interpretation-revolutionising-live-music-accessibility-in-australia/" </w:instrText>
      </w:r>
      <w:r>
        <w:rPr>
          <w:rFonts w:hint="default"/>
          <w:lang w:val="en-US" w:eastAsia="zh-CN"/>
        </w:rPr>
        <w:fldChar w:fldCharType="separate"/>
      </w:r>
      <w:r>
        <w:rPr>
          <w:rStyle w:val="6"/>
          <w:rFonts w:hint="default"/>
          <w:lang w:val="en-US" w:eastAsia="zh-CN"/>
        </w:rPr>
        <w:t>https://getskilledaccess.com.au/blog/auslan-interpretation-revolutionising-live-music-accessibility-in-australia/</w:t>
      </w:r>
      <w:r>
        <w:rPr>
          <w:rFonts w:hint="default"/>
          <w:lang w:val="en-US" w:eastAsia="zh-CN"/>
        </w:rPr>
        <w:fldChar w:fldCharType="end"/>
      </w:r>
    </w:p>
    <w:p w14:paraId="466E4677">
      <w:pPr>
        <w:numPr>
          <w:ilvl w:val="0"/>
          <w:numId w:val="1"/>
        </w:numPr>
        <w:ind w:left="0" w:leftChars="0" w:firstLine="0" w:firstLineChars="0"/>
        <w:jc w:val="both"/>
        <w:rPr>
          <w:rFonts w:hint="default" w:ascii="Times New Roman Regular" w:hAnsi="Times New Roman Regular" w:cs="Times New Roman Regular"/>
          <w:b w:val="0"/>
          <w:bCs/>
          <w:sz w:val="28"/>
          <w:szCs w:val="28"/>
          <w:lang w:val="en-US" w:eastAsia="zh-CN"/>
        </w:rPr>
      </w:pPr>
      <w:r>
        <w:rPr>
          <w:rFonts w:hint="eastAsia" w:ascii="Times New Roman Regular" w:hAnsi="Times New Roman Regular" w:cs="Times New Roman Regular"/>
          <w:b w:val="0"/>
          <w:bCs/>
          <w:sz w:val="28"/>
          <w:szCs w:val="28"/>
          <w:lang w:val="en-US" w:eastAsia="zh-CN"/>
        </w:rPr>
        <w:t>Sign language interpretation music performance：Sign language music performances, mainly for deaf audiences, focus on enhancing visual and emotional expression, allowing the audience to feel the music more deeply through sign language, lighting and multimedia</w:t>
      </w:r>
      <w:r>
        <w:rPr>
          <w:rFonts w:hint="default" w:ascii="Times New Roman Regular" w:hAnsi="Times New Roman Regular" w:cs="Times New Roman Regular"/>
          <w:b w:val="0"/>
          <w:bCs/>
          <w:sz w:val="28"/>
          <w:szCs w:val="28"/>
          <w:lang w:val="en-US" w:eastAsia="zh-CN"/>
        </w:rPr>
        <w:t xml:space="preserve"> (Rebecca 2024). </w:t>
      </w:r>
      <w:r>
        <w:rPr>
          <w:rFonts w:hint="eastAsia" w:ascii="Times New Roman Regular" w:hAnsi="Times New Roman Regular" w:cs="Times New Roman Regular"/>
          <w:b w:val="0"/>
          <w:bCs/>
          <w:sz w:val="28"/>
          <w:szCs w:val="28"/>
          <w:lang w:val="en-US" w:eastAsia="zh-CN"/>
        </w:rPr>
        <w:t>DMF will select emotional and rhythmic music, and sign language performers will convey emotions through exaggerated facial expressions and body movements. In stage design, with the change of music mood, lighting and multimedia effects to render emotional climax, such as the use of animation or projection to enhance the mood of the lyrics. Visual elements can strengthen the atmosphere of sign language expression, so that the audience can be immersed in the emotional world of music, even if they cannot hear the melody, they can deeply feel the shock and emotional depth of music</w:t>
      </w:r>
      <w:r>
        <w:rPr>
          <w:rFonts w:hint="default" w:ascii="Times New Roman Regular" w:hAnsi="Times New Roman Regular" w:cs="Times New Roman Regular"/>
          <w:b w:val="0"/>
          <w:bCs/>
          <w:sz w:val="28"/>
          <w:szCs w:val="28"/>
          <w:lang w:val="en-US" w:eastAsia="zh-CN"/>
        </w:rPr>
        <w:t xml:space="preserve"> (</w:t>
      </w:r>
      <w:r>
        <w:rPr>
          <w:rFonts w:hint="eastAsia" w:ascii="Times New Roman Regular" w:hAnsi="Times New Roman Regular" w:cs="Times New Roman Regular"/>
          <w:b w:val="0"/>
          <w:bCs/>
          <w:sz w:val="28"/>
          <w:szCs w:val="28"/>
          <w:lang w:val="en-US" w:eastAsia="zh-CN"/>
        </w:rPr>
        <w:t>SCHMITT</w:t>
      </w:r>
      <w:r>
        <w:rPr>
          <w:rFonts w:hint="default" w:ascii="Times New Roman Regular" w:hAnsi="Times New Roman Regular" w:cs="Times New Roman Regular"/>
          <w:b w:val="0"/>
          <w:bCs/>
          <w:sz w:val="28"/>
          <w:szCs w:val="28"/>
          <w:lang w:val="en-US" w:eastAsia="zh-CN"/>
        </w:rPr>
        <w:t xml:space="preserve"> </w:t>
      </w:r>
      <w:r>
        <w:rPr>
          <w:rFonts w:hint="eastAsia" w:ascii="Times New Roman Regular" w:hAnsi="Times New Roman Regular" w:cs="Times New Roman Regular"/>
          <w:b w:val="0"/>
          <w:bCs/>
          <w:sz w:val="28"/>
          <w:szCs w:val="28"/>
          <w:lang w:val="en-US" w:eastAsia="zh-CN"/>
        </w:rPr>
        <w:t>2017</w:t>
      </w:r>
      <w:r>
        <w:rPr>
          <w:rFonts w:hint="default" w:ascii="Times New Roman Regular" w:hAnsi="Times New Roman Regular" w:cs="Times New Roman Regular"/>
          <w:b w:val="0"/>
          <w:bCs/>
          <w:sz w:val="28"/>
          <w:szCs w:val="28"/>
          <w:lang w:val="en-US" w:eastAsia="zh-CN"/>
        </w:rPr>
        <w:t>:137</w:t>
      </w:r>
      <w:r>
        <w:rPr>
          <w:rFonts w:hint="eastAsia" w:ascii="Times New Roman Regular" w:hAnsi="Times New Roman Regular" w:cs="Times New Roman Regular"/>
          <w:b w:val="0"/>
          <w:bCs/>
          <w:sz w:val="28"/>
          <w:szCs w:val="28"/>
          <w:lang w:val="en-US" w:eastAsia="zh-CN"/>
        </w:rPr>
        <w:t>)</w:t>
      </w:r>
      <w:r>
        <w:rPr>
          <w:rFonts w:hint="default" w:ascii="Times New Roman Regular" w:hAnsi="Times New Roman Regular" w:cs="Times New Roman Regular"/>
          <w:b w:val="0"/>
          <w:bCs/>
          <w:sz w:val="28"/>
          <w:szCs w:val="28"/>
          <w:lang w:val="en-US" w:eastAsia="zh-CN"/>
        </w:rPr>
        <w:t>.</w:t>
      </w:r>
    </w:p>
    <w:p w14:paraId="502A87DA">
      <w:pPr>
        <w:numPr>
          <w:numId w:val="0"/>
        </w:numPr>
        <w:ind w:leftChars="0"/>
        <w:jc w:val="both"/>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drawing>
          <wp:inline distT="0" distB="0" distL="114300" distR="114300">
            <wp:extent cx="5270500" cy="3000375"/>
            <wp:effectExtent l="0" t="0" r="12700" b="22225"/>
            <wp:docPr id="5" name="图片 5" descr="截屏2024-11-03 02.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4-11-03 02.12.12"/>
                    <pic:cNvPicPr>
                      <a:picLocks noChangeAspect="1"/>
                    </pic:cNvPicPr>
                  </pic:nvPicPr>
                  <pic:blipFill>
                    <a:blip r:embed="rId7"/>
                    <a:stretch>
                      <a:fillRect/>
                    </a:stretch>
                  </pic:blipFill>
                  <pic:spPr>
                    <a:xfrm>
                      <a:off x="0" y="0"/>
                      <a:ext cx="5270500" cy="3000375"/>
                    </a:xfrm>
                    <a:prstGeom prst="rect">
                      <a:avLst/>
                    </a:prstGeom>
                  </pic:spPr>
                </pic:pic>
              </a:graphicData>
            </a:graphic>
          </wp:inline>
        </w:drawing>
      </w:r>
    </w:p>
    <w:p w14:paraId="1C129B6A">
      <w:pPr>
        <w:pStyle w:val="2"/>
        <w:numPr>
          <w:numId w:val="0"/>
        </w:numPr>
        <w:ind w:leftChars="0"/>
        <w:jc w:val="both"/>
        <w:rPr>
          <w:rFonts w:hint="default" w:ascii="Times New Roman Regular" w:hAnsi="Times New Roman Regular" w:cs="Times New Roman Regular"/>
          <w:b w:val="0"/>
          <w:bCs/>
          <w:sz w:val="28"/>
          <w:szCs w:val="28"/>
          <w:lang w:val="en-US" w:eastAsia="zh-CN"/>
        </w:rPr>
      </w:pPr>
      <w:r>
        <w:t xml:space="preserve">Figure </w:t>
      </w:r>
      <w:r>
        <w:fldChar w:fldCharType="begin"/>
      </w:r>
      <w:r>
        <w:instrText xml:space="preserve"> SEQ Figure \* ARABIC </w:instrText>
      </w:r>
      <w:r>
        <w:fldChar w:fldCharType="separate"/>
      </w:r>
      <w:r>
        <w:t>4</w:t>
      </w:r>
      <w:r>
        <w:fldChar w:fldCharType="end"/>
      </w:r>
      <w:r>
        <w:rPr>
          <w:rFonts w:hint="default"/>
          <w:lang w:val="en-US"/>
        </w:rPr>
        <w:t>: Example for audiolux performance.</w:t>
      </w:r>
      <w:r>
        <w:rPr>
          <w:rFonts w:hint="default"/>
          <w:lang w:val="en-US"/>
        </w:rPr>
        <w:fldChar w:fldCharType="begin"/>
      </w:r>
      <w:r>
        <w:rPr>
          <w:rFonts w:hint="default"/>
          <w:lang w:val="en-US"/>
        </w:rPr>
        <w:instrText xml:space="preserve"> HYPERLINK "https://www.cymaspace.org/audiolux/" </w:instrText>
      </w:r>
      <w:r>
        <w:rPr>
          <w:rFonts w:hint="default"/>
          <w:lang w:val="en-US"/>
        </w:rPr>
        <w:fldChar w:fldCharType="separate"/>
      </w:r>
      <w:r>
        <w:rPr>
          <w:rStyle w:val="6"/>
          <w:rFonts w:hint="default"/>
          <w:lang w:val="en-US"/>
        </w:rPr>
        <w:t>https://www.cymaspace.org/audiolux/</w:t>
      </w:r>
      <w:r>
        <w:rPr>
          <w:rFonts w:hint="default"/>
          <w:lang w:val="en-US"/>
        </w:rPr>
        <w:fldChar w:fldCharType="end"/>
      </w:r>
    </w:p>
    <w:p w14:paraId="04871D33">
      <w:pPr>
        <w:numPr>
          <w:ilvl w:val="0"/>
          <w:numId w:val="1"/>
        </w:numPr>
        <w:ind w:left="0" w:leftChars="0" w:firstLine="0" w:firstLineChars="0"/>
        <w:jc w:val="both"/>
        <w:rPr>
          <w:rFonts w:hint="eastAsia"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I</w:t>
      </w:r>
      <w:r>
        <w:rPr>
          <w:rFonts w:hint="eastAsia" w:ascii="Times New Roman Regular" w:hAnsi="Times New Roman Regular" w:cs="Times New Roman Regular"/>
          <w:b w:val="0"/>
          <w:bCs/>
          <w:sz w:val="28"/>
          <w:szCs w:val="28"/>
          <w:lang w:val="en-US" w:eastAsia="zh-CN"/>
        </w:rPr>
        <w:t>nteractive art installation exhibition:</w:t>
      </w:r>
      <w:r>
        <w:rPr>
          <w:rFonts w:hint="default" w:ascii="Times New Roman Regular" w:hAnsi="Times New Roman Regular" w:cs="Times New Roman Regular"/>
          <w:b w:val="0"/>
          <w:bCs/>
          <w:sz w:val="28"/>
          <w:szCs w:val="28"/>
          <w:lang w:val="en-US" w:eastAsia="zh-CN"/>
        </w:rPr>
        <w:t xml:space="preserve"> </w:t>
      </w:r>
      <w:r>
        <w:rPr>
          <w:rFonts w:hint="eastAsia" w:ascii="Times New Roman Regular" w:hAnsi="Times New Roman Regular" w:cs="Times New Roman Regular"/>
          <w:b w:val="0"/>
          <w:bCs/>
          <w:sz w:val="28"/>
          <w:szCs w:val="28"/>
          <w:lang w:val="en-US" w:eastAsia="zh-CN"/>
        </w:rPr>
        <w:t xml:space="preserve">In DMF's interactive art installation exhibition, an Audiolux experience area designed for deaf audiences can be set up to create an immersive interactive art installation with "visual sound" as the core. The Audiolux system, developed by the CymaSpace team, is dedicated to making the performing arts more inclusive and accessible, allowing deaf audiences to "see" music by transforming sound into visual elements </w:t>
      </w:r>
      <w:r>
        <w:rPr>
          <w:rFonts w:hint="default" w:ascii="Times New Roman Regular" w:hAnsi="Times New Roman Regular" w:cs="Times New Roman Regular"/>
          <w:b w:val="0"/>
          <w:bCs/>
          <w:sz w:val="28"/>
          <w:szCs w:val="28"/>
          <w:lang w:val="en-US" w:eastAsia="zh-CN"/>
        </w:rPr>
        <w:t>(CYMA S</w:t>
      </w:r>
      <w:r>
        <w:rPr>
          <w:rFonts w:hint="eastAsia" w:ascii="Times New Roman Regular" w:hAnsi="Times New Roman Regular" w:cs="Times New Roman Regular"/>
          <w:b w:val="0"/>
          <w:bCs/>
          <w:sz w:val="28"/>
          <w:szCs w:val="28"/>
          <w:lang w:val="en-US" w:eastAsia="zh-CN"/>
        </w:rPr>
        <w:t>pace</w:t>
      </w:r>
      <w:r>
        <w:rPr>
          <w:rFonts w:hint="default" w:ascii="Times New Roman Regular" w:hAnsi="Times New Roman Regular" w:cs="Times New Roman Regular"/>
          <w:b w:val="0"/>
          <w:bCs/>
          <w:sz w:val="28"/>
          <w:szCs w:val="28"/>
          <w:lang w:val="en-US" w:eastAsia="zh-CN"/>
        </w:rPr>
        <w:t xml:space="preserve"> 2024).</w:t>
      </w:r>
    </w:p>
    <w:p w14:paraId="04933F56">
      <w:pPr>
        <w:numPr>
          <w:numId w:val="0"/>
        </w:numPr>
        <w:ind w:leftChars="0"/>
        <w:jc w:val="both"/>
        <w:rPr>
          <w:rFonts w:hint="eastAsia" w:ascii="Times New Roman Regular" w:hAnsi="Times New Roman Regular" w:cs="Times New Roman Regular"/>
          <w:b w:val="0"/>
          <w:bCs/>
          <w:sz w:val="28"/>
          <w:szCs w:val="28"/>
          <w:lang w:val="en-US" w:eastAsia="zh-CN"/>
        </w:rPr>
      </w:pPr>
      <w:r>
        <w:rPr>
          <w:rFonts w:hint="eastAsia" w:ascii="Times New Roman Regular" w:hAnsi="Times New Roman Regular" w:cs="Times New Roman Regular"/>
          <w:b w:val="0"/>
          <w:bCs/>
          <w:sz w:val="28"/>
          <w:szCs w:val="28"/>
          <w:lang w:val="en-US" w:eastAsia="zh-CN"/>
        </w:rPr>
        <w:t>The Audiolux system presents the rhythm and emotion of music through multi-dimensional light effects, colors and vibrations, transforming audio input into rich visual effects in real time to form a "visual sound" experience. Reflect the rhythm and emotion of the music through changing shapes, light or colors. This design allows the tactile and visual elements of the music to emerge, allowing attendees to interact with the music through sight and touch. Visitors observe the rhythmic effect of the color and lighting as the music changes. These interactive installations not only provide deaf people with the opportunity to interact with the festival content, but also provide all audiences with an immersive art form that differs from the traditional experience, making the festival a truly inclusive, multi-sensory cultural experience.</w:t>
      </w:r>
    </w:p>
    <w:p w14:paraId="5BE3383C">
      <w:pPr>
        <w:numPr>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Scope and scale</w:t>
      </w:r>
    </w:p>
    <w:p w14:paraId="611B8A08">
      <w:pPr>
        <w:numPr>
          <w:ilvl w:val="0"/>
          <w:numId w:val="2"/>
        </w:numPr>
        <w:ind w:leftChars="0"/>
        <w:jc w:val="both"/>
        <w:rPr>
          <w:rFonts w:hint="eastAsia"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L</w:t>
      </w:r>
      <w:r>
        <w:rPr>
          <w:rFonts w:hint="eastAsia" w:ascii="Times New Roman Regular" w:hAnsi="Times New Roman Regular" w:cs="Times New Roman Regular"/>
          <w:b w:val="0"/>
          <w:bCs/>
          <w:sz w:val="28"/>
          <w:szCs w:val="28"/>
          <w:lang w:val="en-US" w:eastAsia="zh-CN"/>
        </w:rPr>
        <w:t>ocation</w:t>
      </w:r>
      <w:r>
        <w:rPr>
          <w:rFonts w:hint="default" w:ascii="Times New Roman Regular" w:hAnsi="Times New Roman Regular" w:cs="Times New Roman Regular"/>
          <w:b w:val="0"/>
          <w:bCs/>
          <w:sz w:val="28"/>
          <w:szCs w:val="28"/>
          <w:lang w:val="en-US" w:eastAsia="zh-CN"/>
        </w:rPr>
        <w:t xml:space="preserve"> and venue</w:t>
      </w:r>
      <w:r>
        <w:rPr>
          <w:rFonts w:hint="eastAsia" w:ascii="Times New Roman Regular" w:hAnsi="Times New Roman Regular" w:cs="Times New Roman Regular"/>
          <w:b w:val="0"/>
          <w:bCs/>
          <w:sz w:val="28"/>
          <w:szCs w:val="28"/>
          <w:lang w:val="en-US" w:eastAsia="zh-CN"/>
        </w:rPr>
        <w:t>: The DMF will be held at Her Majesty's Theatre in Melbourne, a historic and accessible venue that offers a more intimate and focused experience while providing the infrastructure needed to support multi-sensory functionality</w:t>
      </w:r>
      <w:r>
        <w:rPr>
          <w:rFonts w:hint="default" w:ascii="Times New Roman Regular" w:hAnsi="Times New Roman Regular" w:cs="Times New Roman Regular"/>
          <w:b w:val="0"/>
          <w:bCs/>
          <w:sz w:val="28"/>
          <w:szCs w:val="28"/>
          <w:lang w:val="en-US" w:eastAsia="zh-CN"/>
        </w:rPr>
        <w:t xml:space="preserve"> (</w:t>
      </w:r>
      <w:r>
        <w:rPr>
          <w:rFonts w:hint="eastAsia" w:ascii="Times New Roman Regular" w:hAnsi="Times New Roman Regular" w:cs="Times New Roman Regular"/>
          <w:b w:val="0"/>
          <w:bCs/>
          <w:sz w:val="28"/>
          <w:szCs w:val="28"/>
          <w:lang w:val="en-US" w:eastAsia="zh-CN"/>
        </w:rPr>
        <w:t>Her Majesty's Theatre</w:t>
      </w:r>
      <w:r>
        <w:rPr>
          <w:rFonts w:hint="default" w:ascii="Times New Roman Regular" w:hAnsi="Times New Roman Regular" w:cs="Times New Roman Regular"/>
          <w:b w:val="0"/>
          <w:bCs/>
          <w:sz w:val="28"/>
          <w:szCs w:val="28"/>
          <w:lang w:val="en-US" w:eastAsia="zh-CN"/>
        </w:rPr>
        <w:t xml:space="preserve"> 2024). </w:t>
      </w:r>
      <w:r>
        <w:rPr>
          <w:rFonts w:hint="eastAsia" w:ascii="Times New Roman Regular" w:hAnsi="Times New Roman Regular" w:cs="Times New Roman Regular"/>
          <w:b w:val="0"/>
          <w:bCs/>
          <w:sz w:val="28"/>
          <w:szCs w:val="28"/>
          <w:lang w:val="en-US" w:eastAsia="zh-CN"/>
        </w:rPr>
        <w:t>The layout of the theatre is ideal for controlled immersive installations and its location in the heart of Melbourne ensures accessibility and convenience.</w:t>
      </w:r>
    </w:p>
    <w:p w14:paraId="349573EC">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537835" cy="4153535"/>
            <wp:effectExtent l="0" t="0" r="24765" b="12065"/>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8"/>
                    <a:stretch>
                      <a:fillRect/>
                    </a:stretch>
                  </pic:blipFill>
                  <pic:spPr>
                    <a:xfrm>
                      <a:off x="0" y="0"/>
                      <a:ext cx="5537835" cy="4153535"/>
                    </a:xfrm>
                    <a:prstGeom prst="rect">
                      <a:avLst/>
                    </a:prstGeom>
                    <a:noFill/>
                    <a:ln w="9525">
                      <a:noFill/>
                    </a:ln>
                  </pic:spPr>
                </pic:pic>
              </a:graphicData>
            </a:graphic>
          </wp:inline>
        </w:drawing>
      </w:r>
    </w:p>
    <w:p w14:paraId="5EA56599">
      <w:pPr>
        <w:pStyle w:val="2"/>
        <w:keepNext w:val="0"/>
        <w:keepLines w:val="0"/>
        <w:widowControl/>
        <w:suppressLineNumbers w:val="0"/>
        <w:jc w:val="left"/>
        <w:rPr>
          <w:rFonts w:hint="default"/>
          <w:lang w:val="en-US" w:eastAsia="zh-CN"/>
        </w:rPr>
      </w:pPr>
      <w:r>
        <w:t xml:space="preserve">Figure </w:t>
      </w:r>
      <w:r>
        <w:fldChar w:fldCharType="begin"/>
      </w:r>
      <w:r>
        <w:instrText xml:space="preserve"> SEQ Figure \* ARABIC </w:instrText>
      </w:r>
      <w:r>
        <w:fldChar w:fldCharType="separate"/>
      </w:r>
      <w:r>
        <w:t>5</w:t>
      </w:r>
      <w:r>
        <w:fldChar w:fldCharType="end"/>
      </w:r>
      <w:r>
        <w:rPr>
          <w:rFonts w:hint="default"/>
          <w:lang w:val="en-US"/>
        </w:rPr>
        <w:t xml:space="preserve">: </w:t>
      </w:r>
      <w:r>
        <w:rPr>
          <w:rFonts w:hint="eastAsia"/>
          <w:lang w:val="en-US" w:eastAsia="zh-CN"/>
        </w:rPr>
        <w:t>Her Majesty's Theatre</w:t>
      </w:r>
      <w:r>
        <w:rPr>
          <w:rFonts w:hint="default"/>
          <w:lang w:val="en-US" w:eastAsia="zh-CN"/>
        </w:rPr>
        <w:t xml:space="preserve"> stage</w:t>
      </w:r>
    </w:p>
    <w:p w14:paraId="4E07FBE9">
      <w:pPr>
        <w:pStyle w:val="2"/>
        <w:keepNext w:val="0"/>
        <w:keepLines w:val="0"/>
        <w:widowControl/>
        <w:suppressLineNumbers w:val="0"/>
        <w:jc w:val="left"/>
        <w:rPr>
          <w:rFonts w:hint="default"/>
          <w:lang w:val="en-US" w:eastAsia="zh-CN"/>
        </w:rPr>
      </w:pPr>
      <w:r>
        <w:rPr>
          <w:rFonts w:hint="default"/>
          <w:lang w:val="en-US" w:eastAsia="zh-CN"/>
        </w:rPr>
        <w:fldChar w:fldCharType="begin"/>
      </w:r>
      <w:r>
        <w:rPr>
          <w:rFonts w:hint="default"/>
          <w:lang w:val="en-US" w:eastAsia="zh-CN"/>
        </w:rPr>
        <w:instrText xml:space="preserve"> HYPERLINK "https://localista.com.au/listing/her-majestys-theatre?place=melbourne+cbd-suburb%2C+vic%2C+au" </w:instrText>
      </w:r>
      <w:r>
        <w:rPr>
          <w:rFonts w:hint="default"/>
          <w:lang w:val="en-US" w:eastAsia="zh-CN"/>
        </w:rPr>
        <w:fldChar w:fldCharType="separate"/>
      </w:r>
      <w:r>
        <w:rPr>
          <w:rStyle w:val="6"/>
          <w:rFonts w:hint="default"/>
          <w:lang w:val="en-US" w:eastAsia="zh-CN"/>
        </w:rPr>
        <w:t>https://localista.com.au/listing/her-majestys-theatre?place=melbourne+cbd-suburb%2C+vic%2C+au</w:t>
      </w:r>
      <w:r>
        <w:rPr>
          <w:rFonts w:hint="default"/>
          <w:lang w:val="en-US" w:eastAsia="zh-CN"/>
        </w:rPr>
        <w:fldChar w:fldCharType="end"/>
      </w:r>
    </w:p>
    <w:p w14:paraId="6F7D6394">
      <w:pPr>
        <w:numPr>
          <w:ilvl w:val="0"/>
          <w:numId w:val="2"/>
        </w:numPr>
        <w:ind w:left="0" w:leftChars="0" w:firstLine="0" w:firstLineChars="0"/>
        <w:jc w:val="both"/>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 xml:space="preserve">Event size and Duration: DMF is designed as a two-day festival with 45 minutes of musical performances and interaction in two different periods each day, with a capacity of up to 1,700 attendees per day. The </w:t>
      </w:r>
      <w:r>
        <w:rPr>
          <w:rFonts w:hint="eastAsia" w:ascii="Times New Roman Regular" w:hAnsi="Times New Roman Regular" w:cs="Times New Roman Regular"/>
          <w:b w:val="0"/>
          <w:bCs/>
          <w:sz w:val="28"/>
          <w:szCs w:val="28"/>
          <w:lang w:val="en-US" w:eastAsia="zh-CN"/>
        </w:rPr>
        <w:t>duration</w:t>
      </w:r>
      <w:r>
        <w:rPr>
          <w:rFonts w:hint="default" w:ascii="Times New Roman Regular" w:hAnsi="Times New Roman Regular" w:cs="Times New Roman Regular"/>
          <w:b w:val="0"/>
          <w:bCs/>
          <w:sz w:val="28"/>
          <w:szCs w:val="28"/>
          <w:lang w:val="en-US" w:eastAsia="zh-CN"/>
        </w:rPr>
        <w:t xml:space="preserve"> of the music festival is taken into account that according to Reynolds  and VanWeelden (2024:44)</w:t>
      </w:r>
      <w:r>
        <w:rPr>
          <w:rFonts w:hint="default" w:ascii="Times New Roman Regular" w:hAnsi="Times New Roman Regular" w:cs="Times New Roman Regular"/>
          <w:b w:val="0"/>
          <w:bCs/>
          <w:sz w:val="28"/>
          <w:szCs w:val="28"/>
          <w:lang w:val="en-US" w:eastAsia="zh-CN"/>
        </w:rPr>
        <w:t>, the music festival for the deaf can be shortened to reduce the sensory burden because it avoids sudden high volume and rapid rhythm changes. This scale ensures that the experience remains personalised and accessible to all participants, with staff help available as needed.</w:t>
      </w:r>
    </w:p>
    <w:p w14:paraId="4DBEB6F3">
      <w:pPr>
        <w:numPr>
          <w:ilvl w:val="0"/>
          <w:numId w:val="2"/>
        </w:numPr>
        <w:ind w:left="0" w:leftChars="0" w:firstLine="0" w:firstLineChars="0"/>
        <w:jc w:val="both"/>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Comparison with existing CEEF: DMF differentiates itself from traditional music festivals by focusing on sensory accessibility and inclusion. While mainstream music festivals rely primarily on sound, DMF has pioneered an inclusive, multi-sensory approach to music enjoyment, establishing a new model for accessible music festivals within the cultural economy (Rebecca 2024).</w:t>
      </w:r>
    </w:p>
    <w:p w14:paraId="4A7434DE">
      <w:pPr>
        <w:numPr>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People &amp;Stakeholders and support</w:t>
      </w:r>
    </w:p>
    <w:p w14:paraId="19593A35">
      <w:pPr>
        <w:keepNext w:val="0"/>
        <w:keepLines w:val="0"/>
        <w:pageBreakBefore w:val="0"/>
        <w:widowControl w:val="0"/>
        <w:numPr>
          <w:numId w:val="0"/>
        </w:numPr>
        <w:kinsoku/>
        <w:wordWrap/>
        <w:overflowPunct/>
        <w:topLinePunct w:val="0"/>
        <w:autoSpaceDE/>
        <w:autoSpaceDN/>
        <w:bidi w:val="0"/>
        <w:adjustRightInd/>
        <w:snapToGrid/>
        <w:ind w:leftChars="0" w:firstLine="560" w:firstLineChars="200"/>
        <w:jc w:val="both"/>
        <w:textAlignment w:val="auto"/>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DMF aims to be a culturally inclusive event that brings together a wide range of audiences, including deaf, deaf-blind, hearing-impaired people and their Allies in the wider community. The festival targets both primary and secondary audiences who share a common interest in accessibility and inclusion in music and art.</w:t>
      </w:r>
    </w:p>
    <w:p w14:paraId="0F3A3792">
      <w:pPr>
        <w:numPr>
          <w:numId w:val="0"/>
        </w:numPr>
        <w:ind w:leftChars="0"/>
        <w:jc w:val="both"/>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Key Audiences: DMF's key audiences include deaf, deaf-blind and hearing-impaired communities across Australia. By hosting a music festival that offers a variety of sensory experiences, DMF is directly serving these communities, creating a space where they can fully participate in music in a way they never had before. This approach is particularly resonant among young people and adults who actively seek out accessible cultural experiences and often face restrictions in traditional festival environments.</w:t>
      </w:r>
    </w:p>
    <w:p w14:paraId="7DEFB0C3">
      <w:pPr>
        <w:numPr>
          <w:numId w:val="0"/>
        </w:numPr>
        <w:ind w:leftChars="0"/>
        <w:jc w:val="both"/>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Secondary Audience: This group includes family members, friends, educators, advocates, and other Allies who support inclusion. They play an important role in fostering a sense of solidarity and promoting a wider understanding of deaf culture. In addition, individuals who do not have hearing impairments but are interested in unique multi-sensory cultural activities are encouraged to participate, which helps break down barriers between hearing and non-hearing communities.</w:t>
      </w:r>
    </w:p>
    <w:p w14:paraId="7392F3D2">
      <w:pPr>
        <w:keepNext w:val="0"/>
        <w:keepLines w:val="0"/>
        <w:pageBreakBefore w:val="0"/>
        <w:widowControl w:val="0"/>
        <w:numPr>
          <w:numId w:val="0"/>
        </w:numPr>
        <w:kinsoku/>
        <w:wordWrap/>
        <w:overflowPunct/>
        <w:topLinePunct w:val="0"/>
        <w:autoSpaceDE/>
        <w:autoSpaceDN/>
        <w:bidi w:val="0"/>
        <w:adjustRightInd/>
        <w:snapToGrid/>
        <w:ind w:leftChars="0" w:firstLine="560" w:firstLineChars="200"/>
        <w:jc w:val="both"/>
        <w:textAlignment w:val="auto"/>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To reach and engage these communities, DMF will partner with Deaf Connect, Deaf Victoria and Deaf Australia. Each of these organizations plays a vital role in advocating for the rights and needs of deaf and hard of hearing people, and their participation ensures that DMF productions are made with insight, sensitivity, and respect for the cultural values and history of the community (Deaf connect</w:t>
      </w:r>
      <w:r>
        <w:rPr>
          <w:rFonts w:hint="eastAsia" w:ascii="Times New Roman Regular" w:hAnsi="Times New Roman Regular" w:cs="Times New Roman Regular"/>
          <w:b w:val="0"/>
          <w:bCs/>
          <w:sz w:val="28"/>
          <w:szCs w:val="28"/>
          <w:lang w:val="en-US" w:eastAsia="zh-CN"/>
        </w:rPr>
        <w:t xml:space="preserve"> </w:t>
      </w:r>
      <w:r>
        <w:rPr>
          <w:rFonts w:hint="default" w:ascii="Times New Roman Regular" w:hAnsi="Times New Roman Regular" w:cs="Times New Roman Regular"/>
          <w:b w:val="0"/>
          <w:bCs/>
          <w:sz w:val="28"/>
          <w:szCs w:val="28"/>
          <w:lang w:val="en-US" w:eastAsia="zh-CN"/>
        </w:rPr>
        <w:t>2024). By partnering with these organizations, DMF will be able to create a fully accessible, culturally respectful event that amplifies the voices and experiences of the deaf community while promoting inclusive practices to the broader public.</w:t>
      </w:r>
    </w:p>
    <w:p w14:paraId="78A8C447">
      <w:pPr>
        <w:numPr>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Expected return on investment for stakeholders:</w:t>
      </w:r>
    </w:p>
    <w:p w14:paraId="1087A713">
      <w:pPr>
        <w:numPr>
          <w:ilvl w:val="0"/>
          <w:numId w:val="3"/>
        </w:numPr>
        <w:ind w:left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 xml:space="preserve">Social Impact: For organisations such as Deaf Connect, Deaf Victoria and Deaf Australia, DMF represents a high-impact event that aligns directly with their mission to promote accessibility, build community capacity and create social change. The festival provides a platform for them to advocate for inclusive practices while showcasing the deaf community's culture and contributions to the arts </w:t>
      </w:r>
      <w:r>
        <w:rPr>
          <w:rFonts w:hint="default" w:ascii="Times New Roman" w:hAnsi="Times New Roman" w:cs="Times New Roman"/>
          <w:b w:val="0"/>
          <w:bCs/>
          <w:sz w:val="28"/>
          <w:szCs w:val="28"/>
          <w:lang w:val="en-US" w:eastAsia="zh-CN"/>
        </w:rPr>
        <w:t>(D</w:t>
      </w:r>
      <w:r>
        <w:rPr>
          <w:rFonts w:hint="eastAsia" w:ascii="Times New Roman" w:hAnsi="Times New Roman" w:cs="Times New Roman"/>
          <w:b w:val="0"/>
          <w:bCs/>
          <w:sz w:val="28"/>
          <w:szCs w:val="28"/>
          <w:lang w:val="en-US" w:eastAsia="zh-CN"/>
        </w:rPr>
        <w:t>eaf</w:t>
      </w:r>
      <w:r>
        <w:rPr>
          <w:rFonts w:hint="default" w:ascii="Times New Roman" w:hAnsi="Times New Roman" w:cs="Times New Roman"/>
          <w:b w:val="0"/>
          <w:bCs/>
          <w:sz w:val="28"/>
          <w:szCs w:val="28"/>
          <w:lang w:val="en-US" w:eastAsia="zh-CN"/>
        </w:rPr>
        <w:t xml:space="preserve"> Victoria 2024).</w:t>
      </w:r>
    </w:p>
    <w:p w14:paraId="7991EC0D">
      <w:pPr>
        <w:numPr>
          <w:ilvl w:val="0"/>
          <w:numId w:val="3"/>
        </w:numPr>
        <w:ind w:left="0" w:leftChars="0" w:firstLine="0" w:firstLine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Public and cultural recognition: The Melbourne Government and supporting organisations will gain public recognition as leaders in accessibility and inclusion. By partnering with DMF, they can demonstrate a commitment to diversity and inclusive growth in the arts, enhancing Melbourne's position as a forward-thinking cultural hub.</w:t>
      </w:r>
    </w:p>
    <w:p w14:paraId="6A91837B">
      <w:pPr>
        <w:numPr>
          <w:ilvl w:val="0"/>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Values</w:t>
      </w:r>
      <w:r>
        <w:rPr>
          <w:rFonts w:hint="eastAsia" w:ascii="Times New Roman Bold" w:hAnsi="Times New Roman Bold" w:cs="Times New Roman Bold"/>
          <w:b/>
          <w:bCs w:val="0"/>
          <w:sz w:val="28"/>
          <w:szCs w:val="28"/>
          <w:lang w:val="en-US" w:eastAsia="zh-CN"/>
        </w:rPr>
        <w:t>&amp;</w:t>
      </w:r>
      <w:r>
        <w:rPr>
          <w:rFonts w:hint="default" w:ascii="Times New Roman Bold" w:hAnsi="Times New Roman Bold" w:cs="Times New Roman Bold"/>
          <w:b/>
          <w:bCs w:val="0"/>
          <w:sz w:val="28"/>
          <w:szCs w:val="28"/>
          <w:lang w:val="en-US" w:eastAsia="zh-CN"/>
        </w:rPr>
        <w:t>impacts</w:t>
      </w:r>
    </w:p>
    <w:p w14:paraId="7FEDBCB7">
      <w:pPr>
        <w:numPr>
          <w:ilvl w:val="0"/>
          <w:numId w:val="4"/>
        </w:numPr>
        <w:ind w:left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Audience satisfaction and attendance: Each deaf participant w</w:t>
      </w:r>
      <w:r>
        <w:rPr>
          <w:rFonts w:hint="eastAsia" w:ascii="Times New Roman" w:hAnsi="Times New Roman" w:cs="Times New Roman"/>
          <w:b w:val="0"/>
          <w:bCs/>
          <w:sz w:val="28"/>
          <w:szCs w:val="28"/>
          <w:lang w:val="en-US" w:eastAsia="zh-CN"/>
        </w:rPr>
        <w:t>ill</w:t>
      </w:r>
      <w:r>
        <w:rPr>
          <w:rFonts w:hint="default" w:ascii="Times New Roman" w:hAnsi="Times New Roman" w:cs="Times New Roman"/>
          <w:b w:val="0"/>
          <w:bCs/>
          <w:sz w:val="28"/>
          <w:szCs w:val="28"/>
          <w:lang w:val="en-US" w:eastAsia="zh-CN"/>
        </w:rPr>
        <w:t xml:space="preserve"> be invited to fill out a satisfaction questionnaire after the event to measure satisfaction and areas for improvement. In addition, recording the number of people who re-attend different festival performances, attendance and re-attendance rates will provide quantitative insights into the festival's appeal and growth potential (</w:t>
      </w:r>
      <w:r>
        <w:rPr>
          <w:rFonts w:hint="default" w:ascii="Times New Roman Regular" w:hAnsi="Times New Roman Regular" w:eastAsia="宋体" w:cs="Times New Roman Regular"/>
          <w:i w:val="0"/>
          <w:kern w:val="0"/>
          <w:sz w:val="28"/>
          <w:szCs w:val="28"/>
          <w:lang w:val="en-US" w:eastAsia="zh-CN" w:bidi="ar"/>
        </w:rPr>
        <w:t>Brown et al. 2015:139).</w:t>
      </w:r>
    </w:p>
    <w:p w14:paraId="532D7652">
      <w:pPr>
        <w:numPr>
          <w:numId w:val="0"/>
        </w:numPr>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drawing>
          <wp:anchor distT="0" distB="0" distL="114300" distR="114300" simplePos="0" relativeHeight="251662336" behindDoc="0" locked="0" layoutInCell="1" allowOverlap="1">
            <wp:simplePos x="0" y="0"/>
            <wp:positionH relativeFrom="column">
              <wp:posOffset>203200</wp:posOffset>
            </wp:positionH>
            <wp:positionV relativeFrom="paragraph">
              <wp:posOffset>63500</wp:posOffset>
            </wp:positionV>
            <wp:extent cx="5118100" cy="2832100"/>
            <wp:effectExtent l="0" t="0" r="12700" b="12700"/>
            <wp:wrapTopAndBottom/>
            <wp:docPr id="8" name="图片 8" descr="截屏2024-11-02 01.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截屏2024-11-02 01.58.00"/>
                    <pic:cNvPicPr>
                      <a:picLocks noChangeAspect="1"/>
                    </pic:cNvPicPr>
                  </pic:nvPicPr>
                  <pic:blipFill>
                    <a:blip r:embed="rId9"/>
                    <a:stretch>
                      <a:fillRect/>
                    </a:stretch>
                  </pic:blipFill>
                  <pic:spPr>
                    <a:xfrm>
                      <a:off x="0" y="0"/>
                      <a:ext cx="5118100" cy="2832100"/>
                    </a:xfrm>
                    <a:prstGeom prst="rect">
                      <a:avLst/>
                    </a:prstGeom>
                  </pic:spPr>
                </pic:pic>
              </a:graphicData>
            </a:graphic>
          </wp:anchor>
        </w:drawing>
      </w:r>
    </w:p>
    <w:p w14:paraId="053DF8F3">
      <w:pPr>
        <w:pStyle w:val="2"/>
        <w:numPr>
          <w:numId w:val="0"/>
        </w:numPr>
        <w:jc w:val="both"/>
        <w:rPr>
          <w:rFonts w:hint="default" w:ascii="Times New Roman Regular" w:hAnsi="Times New Roman Regular" w:cs="Times New Roman Regular"/>
          <w:lang w:val="en-US" w:eastAsia="zh-CN"/>
        </w:rPr>
      </w:pPr>
      <w:r>
        <w:t xml:space="preserve">Figure </w:t>
      </w:r>
      <w:r>
        <w:fldChar w:fldCharType="begin"/>
      </w:r>
      <w:r>
        <w:instrText xml:space="preserve"> SEQ Figure \* ARABIC </w:instrText>
      </w:r>
      <w:r>
        <w:fldChar w:fldCharType="separate"/>
      </w:r>
      <w:r>
        <w:t>6</w:t>
      </w:r>
      <w:r>
        <w:fldChar w:fldCharType="end"/>
      </w:r>
      <w:r>
        <w:rPr>
          <w:rFonts w:hint="eastAsia"/>
          <w:lang w:eastAsia="zh-CN"/>
        </w:rPr>
        <w:t>：</w:t>
      </w:r>
      <w:r>
        <w:rPr>
          <w:rFonts w:hint="default" w:ascii="Times New Roman Regular" w:hAnsi="Times New Roman Regular" w:cs="Times New Roman Regular"/>
          <w:lang w:eastAsia="zh-CN"/>
        </w:rPr>
        <w:t>mage taken from A report on the City of Melbourne and City of Yarra Accessible Music Venues project</w:t>
      </w:r>
      <w:r>
        <w:rPr>
          <w:rFonts w:hint="default" w:ascii="Times New Roman Regular" w:hAnsi="Times New Roman Regular" w:cs="Times New Roman Regular"/>
          <w:lang w:val="en-US" w:eastAsia="zh-CN"/>
        </w:rPr>
        <w:t xml:space="preserve">. (page 8) </w:t>
      </w:r>
      <w:r>
        <w:rPr>
          <w:rFonts w:hint="default" w:ascii="Times New Roman Regular" w:hAnsi="Times New Roman Regular" w:cs="Times New Roman Regular"/>
          <w:lang w:val="en-US" w:eastAsia="zh-CN"/>
        </w:rPr>
        <w:fldChar w:fldCharType="begin"/>
      </w:r>
      <w:r>
        <w:rPr>
          <w:rFonts w:hint="default" w:ascii="Times New Roman Regular" w:hAnsi="Times New Roman Regular" w:cs="Times New Roman Regular"/>
          <w:lang w:val="en-US" w:eastAsia="zh-CN"/>
        </w:rPr>
        <w:instrText xml:space="preserve"> HYPERLINK "https://app.immersivetranslate.com/pdf/" </w:instrText>
      </w:r>
      <w:r>
        <w:rPr>
          <w:rFonts w:hint="default" w:ascii="Times New Roman Regular" w:hAnsi="Times New Roman Regular" w:cs="Times New Roman Regular"/>
          <w:lang w:val="en-US" w:eastAsia="zh-CN"/>
        </w:rPr>
        <w:fldChar w:fldCharType="separate"/>
      </w:r>
      <w:r>
        <w:rPr>
          <w:rStyle w:val="6"/>
          <w:rFonts w:hint="default" w:ascii="Times New Roman Regular" w:hAnsi="Times New Roman Regular" w:cs="Times New Roman Regular"/>
          <w:lang w:val="en-US" w:eastAsia="zh-CN"/>
        </w:rPr>
        <w:t>https://app.immersivetranslate.com/pdf/</w:t>
      </w:r>
      <w:r>
        <w:rPr>
          <w:rFonts w:hint="default" w:ascii="Times New Roman Regular" w:hAnsi="Times New Roman Regular" w:cs="Times New Roman Regular"/>
          <w:lang w:val="en-US" w:eastAsia="zh-CN"/>
        </w:rPr>
        <w:fldChar w:fldCharType="end"/>
      </w:r>
    </w:p>
    <w:p w14:paraId="35808B37">
      <w:pPr>
        <w:numPr>
          <w:ilvl w:val="0"/>
          <w:numId w:val="4"/>
        </w:numPr>
        <w:ind w:left="0" w:leftChars="0" w:firstLine="0" w:firstLineChars="0"/>
        <w:jc w:val="both"/>
        <w:rPr>
          <w:rFonts w:hint="eastAsia" w:ascii="Times New Roman" w:hAnsi="Times New Roman" w:cs="Times New Roman"/>
          <w:b w:val="0"/>
          <w:bCs/>
          <w:sz w:val="28"/>
          <w:szCs w:val="28"/>
          <w:lang w:val="en-US" w:eastAsia="zh-CN"/>
        </w:rPr>
      </w:pPr>
      <w:r>
        <w:rPr>
          <w:rFonts w:hint="eastAsia" w:ascii="Times New Roman" w:hAnsi="Times New Roman" w:cs="Times New Roman"/>
          <w:b w:val="0"/>
          <w:bCs/>
          <w:sz w:val="28"/>
          <w:szCs w:val="28"/>
          <w:lang w:val="en-US" w:eastAsia="zh-CN"/>
        </w:rPr>
        <w:t>Bring economic benefits to the deaf community</w:t>
      </w:r>
      <w:r>
        <w:rPr>
          <w:rFonts w:hint="default" w:ascii="Times New Roman" w:hAnsi="Times New Roman" w:cs="Times New Roman"/>
          <w:b w:val="0"/>
          <w:bCs/>
          <w:sz w:val="28"/>
          <w:szCs w:val="28"/>
          <w:lang w:val="en-US" w:eastAsia="zh-CN"/>
        </w:rPr>
        <w:t xml:space="preserve">: </w:t>
      </w:r>
      <w:r>
        <w:rPr>
          <w:rFonts w:hint="eastAsia" w:ascii="Times New Roman" w:hAnsi="Times New Roman" w:cs="Times New Roman"/>
          <w:b w:val="0"/>
          <w:bCs/>
          <w:sz w:val="28"/>
          <w:szCs w:val="28"/>
          <w:lang w:val="en-US" w:eastAsia="zh-CN"/>
        </w:rPr>
        <w:t>DMF is expected to have a positive impact on deaf artists' earnings by providing a platform to celebrate their talents and promote industry recognition. By highlighting deaf performers, DMF</w:t>
      </w:r>
      <w:r>
        <w:rPr>
          <w:rFonts w:hint="default" w:ascii="Times New Roman" w:hAnsi="Times New Roman" w:cs="Times New Roman"/>
          <w:b w:val="0"/>
          <w:bCs/>
          <w:sz w:val="28"/>
          <w:szCs w:val="28"/>
          <w:lang w:val="en-US" w:eastAsia="zh-CN"/>
        </w:rPr>
        <w:t xml:space="preserve"> </w:t>
      </w:r>
      <w:r>
        <w:rPr>
          <w:rFonts w:hint="eastAsia" w:ascii="Times New Roman" w:hAnsi="Times New Roman" w:cs="Times New Roman"/>
          <w:b w:val="0"/>
          <w:bCs/>
          <w:sz w:val="28"/>
          <w:szCs w:val="28"/>
          <w:lang w:val="en-US" w:eastAsia="zh-CN"/>
        </w:rPr>
        <w:t>increases their visibility and opens up new performance and collaboration opportunities, potentially leading to more bookings at other events. In addition, the festival's partnerships with organizations such as Deaf Connect and Deaf Victoria can lead to long-term career opportunities for deaf artists. This exposure not only enriches the cultural economy, but also supports sustainable income growth for deaf performers within the arts industry.</w:t>
      </w:r>
    </w:p>
    <w:p w14:paraId="51A41982">
      <w:pPr>
        <w:numPr>
          <w:ilvl w:val="0"/>
          <w:numId w:val="4"/>
        </w:numPr>
        <w:ind w:left="0" w:leftChars="0" w:firstLine="0" w:firstLine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Social Media Engagement: On the one hand, DMF's online presence will be tracked through metrics such as social media shares, likes, comments, and hashtags. High participation will reflect the public interest and expand the conversation about accessibility and inclusion in the arts. A positive social media response will also expand DMF's reach, reach a wider audience and encourage discussion about the importance of accessible cultural events. On the other hand, media coverage by mainstream news outlets and specialist publications focused on accessibility and the arts would be an important indicator. Positive media attention will help build the DMF's reputation as a pioneering, inclusive event and could inspire similar initiatives in Australia and beyond.</w:t>
      </w:r>
    </w:p>
    <w:p w14:paraId="20C9E645">
      <w:pPr>
        <w:numPr>
          <w:ilvl w:val="0"/>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Creative personnel</w:t>
      </w:r>
    </w:p>
    <w:p w14:paraId="698E8B4C">
      <w:pPr>
        <w:numPr>
          <w:ilvl w:val="0"/>
          <w:numId w:val="5"/>
        </w:numPr>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Sign language interpreter</w:t>
      </w:r>
    </w:p>
    <w:p w14:paraId="6C9A1690">
      <w:pPr>
        <w:numPr>
          <w:numId w:val="0"/>
        </w:numPr>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Sign language interpreters play an important role in ensuring deaf attendees can participate in the festival in an equal and immersive way. They translate live performances, workshops and announcements into Australian Sign Language (Auslan</w:t>
      </w:r>
      <w:r>
        <w:rPr>
          <w:rFonts w:hint="eastAsia" w:ascii="Times New Roman" w:hAnsi="Times New Roman" w:cs="Times New Roman"/>
          <w:b w:val="0"/>
          <w:bCs/>
          <w:sz w:val="28"/>
          <w:szCs w:val="28"/>
          <w:lang w:val="en-US" w:eastAsia="zh-CN"/>
        </w:rPr>
        <w:t>-</w:t>
      </w:r>
      <w:r>
        <w:rPr>
          <w:rFonts w:hint="default" w:ascii="Times New Roman" w:hAnsi="Times New Roman" w:cs="Times New Roman"/>
          <w:b w:val="0"/>
          <w:bCs/>
          <w:sz w:val="28"/>
          <w:szCs w:val="28"/>
          <w:lang w:val="en-US" w:eastAsia="zh-CN"/>
        </w:rPr>
        <w:t>ASL), enabling deaf participants to fully understand and enjoy each event session. Interpreters will also facilitate informal interactions and facilitate communication between deaf and hearing attendees, thereby making the DMF a truly multilingual and inclusive space (Claire 2021).</w:t>
      </w:r>
    </w:p>
    <w:p w14:paraId="5103DC61">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73675" cy="2967355"/>
            <wp:effectExtent l="0" t="0" r="9525" b="4445"/>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10"/>
                    <a:stretch>
                      <a:fillRect/>
                    </a:stretch>
                  </pic:blipFill>
                  <pic:spPr>
                    <a:xfrm>
                      <a:off x="0" y="0"/>
                      <a:ext cx="5273675" cy="2967355"/>
                    </a:xfrm>
                    <a:prstGeom prst="rect">
                      <a:avLst/>
                    </a:prstGeom>
                    <a:noFill/>
                    <a:ln w="9525">
                      <a:noFill/>
                    </a:ln>
                  </pic:spPr>
                </pic:pic>
              </a:graphicData>
            </a:graphic>
          </wp:inline>
        </w:drawing>
      </w:r>
    </w:p>
    <w:p w14:paraId="763432A4">
      <w:pPr>
        <w:numPr>
          <w:numId w:val="0"/>
        </w:numPr>
        <w:jc w:val="both"/>
        <w:rPr>
          <w:rFonts w:hint="default"/>
          <w:lang w:val="en-US"/>
        </w:rPr>
      </w:pPr>
      <w:r>
        <w:t xml:space="preserve">Figure </w:t>
      </w:r>
      <w:r>
        <w:fldChar w:fldCharType="begin"/>
      </w:r>
      <w:r>
        <w:instrText xml:space="preserve"> SEQ Figure \* ARABIC </w:instrText>
      </w:r>
      <w:r>
        <w:fldChar w:fldCharType="separate"/>
      </w:r>
      <w:r>
        <w:t>7</w:t>
      </w:r>
      <w:r>
        <w:fldChar w:fldCharType="end"/>
      </w:r>
      <w:r>
        <w:rPr>
          <w:rFonts w:hint="default"/>
          <w:lang w:val="en-US"/>
        </w:rPr>
        <w:t xml:space="preserve">: example of qualified </w:t>
      </w:r>
      <w:r>
        <w:rPr>
          <w:rFonts w:hint="default"/>
          <w:lang w:val="en-US" w:eastAsia="zh-CN"/>
        </w:rPr>
        <w:t>Sign language interpreter :'WAP' at Lollapalooza, 2021. Auslan interpreter Mike Webb</w:t>
      </w:r>
    </w:p>
    <w:p w14:paraId="704C77F3">
      <w:pPr>
        <w:pStyle w:val="2"/>
        <w:keepNext w:val="0"/>
        <w:keepLines w:val="0"/>
        <w:widowControl/>
        <w:suppressLineNumbers w:val="0"/>
        <w:jc w:val="left"/>
        <w:rPr>
          <w:rFonts w:hint="default" w:ascii="宋体" w:hAnsi="宋体" w:eastAsia="宋体" w:cs="宋体"/>
          <w:kern w:val="0"/>
          <w:sz w:val="24"/>
          <w:szCs w:val="24"/>
          <w:lang w:val="en-US" w:eastAsia="zh-CN" w:bidi="ar"/>
        </w:rPr>
      </w:pPr>
    </w:p>
    <w:p w14:paraId="767CDBC2">
      <w:pPr>
        <w:numPr>
          <w:numId w:val="0"/>
        </w:numPr>
        <w:ind w:leftChars="0"/>
        <w:jc w:val="both"/>
        <w:rPr>
          <w:rFonts w:hint="default" w:ascii="Times New Roman" w:hAnsi="Times New Roman" w:cs="Times New Roman"/>
          <w:b w:val="0"/>
          <w:bCs/>
          <w:sz w:val="28"/>
          <w:szCs w:val="28"/>
          <w:lang w:val="en-US" w:eastAsia="zh-CN"/>
        </w:rPr>
      </w:pPr>
      <w:r>
        <w:rPr>
          <w:rFonts w:hint="eastAsia" w:ascii="Times New Roman" w:hAnsi="Times New Roman" w:cs="Times New Roman"/>
          <w:b w:val="0"/>
          <w:bCs/>
          <w:sz w:val="28"/>
          <w:szCs w:val="28"/>
          <w:lang w:val="en-US" w:eastAsia="zh-CN"/>
        </w:rPr>
        <w:t>2.</w:t>
      </w:r>
      <w:r>
        <w:rPr>
          <w:rFonts w:hint="default" w:ascii="Times New Roman" w:hAnsi="Times New Roman" w:cs="Times New Roman"/>
          <w:b w:val="0"/>
          <w:bCs/>
          <w:sz w:val="28"/>
          <w:szCs w:val="28"/>
          <w:lang w:val="en-US" w:eastAsia="zh-CN"/>
        </w:rPr>
        <w:t>Sensory Experience Designer</w:t>
      </w:r>
    </w:p>
    <w:p w14:paraId="1C020EEC">
      <w:pPr>
        <w:numPr>
          <w:numId w:val="0"/>
        </w:numPr>
        <w:ind w:left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The Sensory Experience designer will lead the development of all sense-driven aspects of the festival, including vibration zones, visual displays and interactive installations. Working closely with sound engineers, lighting technicians and visual artists, this person will ensure that all aspects of the festival are designed to maximize sensory engagement. They will be responsible for translating musical elements into tactile, visual and kinesthetic experiences that are easily accessible and enjoyable for deaf, hard-of-hearing and hearing participants alike.</w:t>
      </w:r>
    </w:p>
    <w:p w14:paraId="5DA30CD6">
      <w:pPr>
        <w:numPr>
          <w:numId w:val="0"/>
        </w:numPr>
        <w:ind w:leftChars="0"/>
        <w:jc w:val="both"/>
        <w:rPr>
          <w:rFonts w:hint="eastAsia" w:ascii="Times New Roman" w:hAnsi="Times New Roman" w:cs="Times New Roman"/>
          <w:b w:val="0"/>
          <w:bCs/>
          <w:sz w:val="28"/>
          <w:szCs w:val="28"/>
          <w:lang w:val="en-US" w:eastAsia="zh-CN"/>
        </w:rPr>
      </w:pPr>
      <w:r>
        <w:rPr>
          <w:rFonts w:hint="eastAsia" w:ascii="Times New Roman" w:hAnsi="Times New Roman" w:cs="Times New Roman"/>
          <w:b w:val="0"/>
          <w:bCs/>
          <w:sz w:val="28"/>
          <w:szCs w:val="28"/>
          <w:lang w:val="en-US" w:eastAsia="zh-CN"/>
        </w:rPr>
        <w:t>3.Accessibility Coordinator</w:t>
      </w:r>
    </w:p>
    <w:p w14:paraId="4024113A">
      <w:pPr>
        <w:numPr>
          <w:numId w:val="0"/>
        </w:numPr>
        <w:ind w:leftChars="0"/>
        <w:jc w:val="both"/>
        <w:rPr>
          <w:rFonts w:hint="eastAsia" w:ascii="Times New Roman" w:hAnsi="Times New Roman" w:cs="Times New Roman"/>
          <w:b w:val="0"/>
          <w:bCs/>
          <w:sz w:val="28"/>
          <w:szCs w:val="28"/>
          <w:lang w:val="en-US" w:eastAsia="zh-CN"/>
        </w:rPr>
      </w:pPr>
      <w:r>
        <w:rPr>
          <w:rFonts w:hint="eastAsia" w:ascii="Times New Roman" w:hAnsi="Times New Roman" w:cs="Times New Roman"/>
          <w:b w:val="0"/>
          <w:bCs/>
          <w:sz w:val="28"/>
          <w:szCs w:val="28"/>
          <w:lang w:val="en-US" w:eastAsia="zh-CN"/>
        </w:rPr>
        <w:t>The Accessibility Coordinator will ensure that the DMF meets and exceeds all accessibility standards. They will work with Deaf Connect, Deaf Victoria and Deaf Australia to understand specific community needs and implement inclusive design across all festival elements. This includes arranging ASL interpreters, visual AIDS, clear signage, accessible seating, and managing all aspects of sensory and physical accessibility. In addition, the coordinator will train festival staff and volunteers on best practices for serving deaf and hard-of-hearing people.</w:t>
      </w:r>
    </w:p>
    <w:p w14:paraId="5D1A78B5">
      <w:pPr>
        <w:numPr>
          <w:ilvl w:val="0"/>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Challenges and risks</w:t>
      </w:r>
    </w:p>
    <w:p w14:paraId="00DFC5D2">
      <w:pPr>
        <w:numPr>
          <w:ilvl w:val="0"/>
          <w:numId w:val="6"/>
        </w:numPr>
        <w:ind w:left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Purchase tickets and book accessibility facilities</w:t>
      </w:r>
    </w:p>
    <w:p w14:paraId="79F1FED2">
      <w:pPr>
        <w:numPr>
          <w:numId w:val="0"/>
        </w:numPr>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DMF</w:t>
      </w:r>
      <w:r>
        <w:rPr>
          <w:rFonts w:hint="eastAsia" w:ascii="Times New Roman" w:hAnsi="Times New Roman" w:cs="Times New Roman"/>
          <w:b w:val="0"/>
          <w:bCs/>
          <w:sz w:val="28"/>
          <w:szCs w:val="28"/>
          <w:lang w:val="en-US" w:eastAsia="zh-CN"/>
        </w:rPr>
        <w:t xml:space="preserve"> </w:t>
      </w:r>
      <w:r>
        <w:rPr>
          <w:rFonts w:hint="default" w:ascii="Times New Roman" w:hAnsi="Times New Roman" w:cs="Times New Roman"/>
          <w:b w:val="0"/>
          <w:bCs/>
          <w:sz w:val="28"/>
          <w:szCs w:val="28"/>
          <w:lang w:val="en-US" w:eastAsia="zh-CN"/>
        </w:rPr>
        <w:t>faces specific challenges in ensuring that deaf and hard of hearing people, as well as performers, can successfully complete the ticket purchase and admission process.</w:t>
      </w:r>
      <w:r>
        <w:rPr>
          <w:rFonts w:hint="default" w:ascii="Times New Roman" w:hAnsi="Times New Roman" w:cs="Times New Roman"/>
          <w:b w:val="0"/>
          <w:bCs/>
          <w:sz w:val="28"/>
          <w:szCs w:val="28"/>
          <w:lang w:val="en-US" w:eastAsia="zh-CN"/>
        </w:rPr>
        <w:t xml:space="preserve"> El (2022)</w:t>
      </w:r>
      <w:r>
        <w:rPr>
          <w:rFonts w:hint="default" w:ascii="Times New Roman" w:hAnsi="Times New Roman" w:cs="Times New Roman"/>
          <w:b w:val="0"/>
          <w:bCs/>
          <w:sz w:val="28"/>
          <w:szCs w:val="28"/>
          <w:lang w:val="en-US" w:eastAsia="zh-CN"/>
        </w:rPr>
        <w:t xml:space="preserve"> shows that 80% of performers who are deaf or disabled have difficulty accessing live performance venues.</w:t>
      </w:r>
    </w:p>
    <w:p w14:paraId="27BA8DF0">
      <w:pPr>
        <w:numPr>
          <w:numId w:val="0"/>
        </w:numPr>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Customers who are deaf and hard of hearing often have difficulty arranging tickets through traditional channels. For some, it is impractical to arrange a visit over the phone, and the rigid online booking system may not meet their accessibility needs. To address this, DMF must prioritize an accessible multi-channel booking system that includes an online portal that is easy to navigate and email support. Clear accessibility information on the festival website will guide deaf participants through the booking process, minimising confusion and ensuring a smooth experience (</w:t>
      </w:r>
      <w:r>
        <w:rPr>
          <w:rFonts w:hint="default" w:ascii="Times New Roman" w:hAnsi="Times New Roman" w:cs="Times New Roman"/>
          <w:b w:val="0"/>
          <w:bCs/>
          <w:sz w:val="28"/>
          <w:szCs w:val="28"/>
          <w:lang w:val="en-US" w:eastAsia="zh-CN"/>
        </w:rPr>
        <w:t>El 2022).</w:t>
      </w:r>
    </w:p>
    <w:p w14:paraId="3B8658F8">
      <w:pPr>
        <w:numPr>
          <w:ilvl w:val="0"/>
          <w:numId w:val="6"/>
        </w:numPr>
        <w:ind w:left="0" w:leftChars="0" w:firstLine="0" w:firstLine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Issue of funding for DMF</w:t>
      </w:r>
    </w:p>
    <w:p w14:paraId="70E579C6">
      <w:pPr>
        <w:numPr>
          <w:numId w:val="0"/>
        </w:numPr>
        <w:ind w:leftChars="0"/>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For smaller music festivals like the DMF, securing sufficient funding to support full accessibility is a major challenge. Unlike large festivals with large budgets and major sponsors, small events often operate with limited financial resources, which can limit the range of accessible services they can offer</w:t>
      </w:r>
      <w:r>
        <w:rPr>
          <w:rFonts w:hint="eastAsia" w:ascii="Times New Roman" w:hAnsi="Times New Roman" w:cs="Times New Roman"/>
          <w:b w:val="0"/>
          <w:bCs/>
          <w:sz w:val="28"/>
          <w:szCs w:val="28"/>
          <w:lang w:val="en-US" w:eastAsia="zh-CN"/>
        </w:rPr>
        <w:t xml:space="preserve"> </w:t>
      </w:r>
      <w:r>
        <w:rPr>
          <w:rFonts w:hint="default" w:ascii="Times New Roman" w:hAnsi="Times New Roman" w:cs="Times New Roman"/>
          <w:b w:val="0"/>
          <w:bCs/>
          <w:sz w:val="28"/>
          <w:szCs w:val="28"/>
          <w:lang w:val="en-US" w:eastAsia="zh-CN"/>
        </w:rPr>
        <w:t>(Bossey 2020:17).</w:t>
      </w:r>
    </w:p>
    <w:p w14:paraId="59E54BF3">
      <w:pPr>
        <w:numPr>
          <w:ilvl w:val="0"/>
          <w:numId w:val="6"/>
        </w:numPr>
        <w:ind w:left="0" w:leftChars="0" w:firstLine="0" w:firstLineChars="0"/>
        <w:jc w:val="both"/>
        <w:rPr>
          <w:rFonts w:hint="eastAsia" w:ascii="Times New Roman" w:hAnsi="Times New Roman" w:cs="Times New Roman"/>
          <w:b w:val="0"/>
          <w:bCs/>
          <w:sz w:val="28"/>
          <w:szCs w:val="28"/>
          <w:lang w:val="en-US" w:eastAsia="zh-CN"/>
        </w:rPr>
      </w:pPr>
      <w:r>
        <w:rPr>
          <w:rFonts w:hint="eastAsia" w:ascii="Times New Roman" w:hAnsi="Times New Roman" w:cs="Times New Roman"/>
          <w:b w:val="0"/>
          <w:bCs/>
          <w:sz w:val="28"/>
          <w:szCs w:val="28"/>
          <w:lang w:val="en-US" w:eastAsia="zh-CN"/>
        </w:rPr>
        <w:t>Integrate sign language interpretation into a multi-sensory festival environment</w:t>
      </w:r>
    </w:p>
    <w:p w14:paraId="4D1E55EC">
      <w:pPr>
        <w:numPr>
          <w:numId w:val="0"/>
        </w:numPr>
        <w:ind w:leftChars="0"/>
        <w:jc w:val="both"/>
        <w:rPr>
          <w:rFonts w:hint="eastAsia" w:ascii="Times New Roman" w:hAnsi="Times New Roman" w:cs="Times New Roman"/>
          <w:b w:val="0"/>
          <w:bCs/>
          <w:sz w:val="28"/>
          <w:szCs w:val="28"/>
          <w:lang w:val="en-US" w:eastAsia="zh-CN"/>
        </w:rPr>
      </w:pPr>
      <w:r>
        <w:rPr>
          <w:rFonts w:hint="eastAsia" w:ascii="Times New Roman" w:hAnsi="Times New Roman" w:cs="Times New Roman"/>
          <w:b w:val="0"/>
          <w:bCs/>
          <w:sz w:val="28"/>
          <w:szCs w:val="28"/>
          <w:lang w:val="en-US" w:eastAsia="zh-CN"/>
        </w:rPr>
        <w:t xml:space="preserve">DMF faces the challenge of integrating sign language interpretation into a multi-layered performance space. </w:t>
      </w:r>
      <w:r>
        <w:rPr>
          <w:rFonts w:hint="default" w:ascii="Times New Roman" w:hAnsi="Times New Roman" w:cs="Times New Roman"/>
          <w:b w:val="0"/>
          <w:bCs/>
          <w:sz w:val="28"/>
          <w:szCs w:val="28"/>
          <w:lang w:val="en-US" w:eastAsia="zh-CN"/>
        </w:rPr>
        <w:t>A</w:t>
      </w:r>
      <w:r>
        <w:rPr>
          <w:rFonts w:hint="eastAsia" w:ascii="Times New Roman" w:hAnsi="Times New Roman" w:cs="Times New Roman"/>
          <w:b w:val="0"/>
          <w:bCs/>
          <w:sz w:val="28"/>
          <w:szCs w:val="28"/>
          <w:lang w:val="en-US" w:eastAsia="zh-CN"/>
        </w:rPr>
        <w:t>ccording</w:t>
      </w:r>
      <w:r>
        <w:rPr>
          <w:rFonts w:hint="default" w:ascii="Times New Roman" w:hAnsi="Times New Roman" w:cs="Times New Roman"/>
          <w:b w:val="0"/>
          <w:bCs/>
          <w:sz w:val="28"/>
          <w:szCs w:val="28"/>
          <w:lang w:val="en-US" w:eastAsia="zh-CN"/>
        </w:rPr>
        <w:t xml:space="preserve"> to </w:t>
      </w:r>
      <w:r>
        <w:rPr>
          <w:rFonts w:hint="eastAsia" w:ascii="Times New Roman" w:hAnsi="Times New Roman" w:cs="Times New Roman"/>
          <w:b w:val="0"/>
          <w:bCs/>
          <w:sz w:val="28"/>
          <w:szCs w:val="28"/>
          <w:lang w:val="en-US" w:eastAsia="zh-CN"/>
        </w:rPr>
        <w:t>Richardson</w:t>
      </w:r>
      <w:r>
        <w:rPr>
          <w:rFonts w:hint="default" w:ascii="Times New Roman" w:hAnsi="Times New Roman" w:cs="Times New Roman"/>
          <w:b w:val="0"/>
          <w:bCs/>
          <w:sz w:val="28"/>
          <w:szCs w:val="28"/>
          <w:lang w:val="en-US" w:eastAsia="zh-CN"/>
        </w:rPr>
        <w:t xml:space="preserve"> (</w:t>
      </w:r>
      <w:r>
        <w:rPr>
          <w:rFonts w:hint="eastAsia" w:ascii="Times New Roman" w:hAnsi="Times New Roman" w:cs="Times New Roman"/>
          <w:b w:val="0"/>
          <w:bCs/>
          <w:sz w:val="28"/>
          <w:szCs w:val="28"/>
          <w:lang w:val="en-US" w:eastAsia="zh-CN"/>
        </w:rPr>
        <w:t>2018</w:t>
      </w:r>
      <w:r>
        <w:rPr>
          <w:rFonts w:hint="default" w:ascii="Times New Roman" w:hAnsi="Times New Roman" w:cs="Times New Roman"/>
          <w:b w:val="0"/>
          <w:bCs/>
          <w:sz w:val="28"/>
          <w:szCs w:val="28"/>
          <w:lang w:val="en-US" w:eastAsia="zh-CN"/>
        </w:rPr>
        <w:t>:66</w:t>
      </w:r>
      <w:r>
        <w:rPr>
          <w:rFonts w:hint="eastAsia" w:ascii="Times New Roman" w:hAnsi="Times New Roman" w:cs="Times New Roman"/>
          <w:b w:val="0"/>
          <w:bCs/>
          <w:sz w:val="28"/>
          <w:szCs w:val="28"/>
          <w:lang w:val="en-US" w:eastAsia="zh-CN"/>
        </w:rPr>
        <w:t>)</w:t>
      </w:r>
      <w:r>
        <w:rPr>
          <w:rFonts w:hint="default" w:ascii="Times New Roman" w:hAnsi="Times New Roman" w:cs="Times New Roman"/>
          <w:b w:val="0"/>
          <w:bCs/>
          <w:sz w:val="28"/>
          <w:szCs w:val="28"/>
          <w:lang w:val="en-US" w:eastAsia="zh-CN"/>
        </w:rPr>
        <w:t xml:space="preserve">, </w:t>
      </w:r>
      <w:r>
        <w:rPr>
          <w:rFonts w:hint="eastAsia" w:ascii="Times New Roman" w:hAnsi="Times New Roman" w:cs="Times New Roman"/>
          <w:b w:val="0"/>
          <w:bCs/>
          <w:sz w:val="28"/>
          <w:szCs w:val="28"/>
          <w:lang w:val="en-US" w:eastAsia="zh-CN"/>
        </w:rPr>
        <w:t>Separating interpreters from the main stage may force deaf attendees to choose between watching an interpreter or a performance, reducing their ability to participate fully. Solutions include integrating interpreters into visually subtle areas on stage, using multiple screens for captioning and ASL interpretation, and adjusting lighting to balance accessibility features with minimal interference. These strategies help ensure a cohesive, inclusive experience that enables deaf and hearing participants to fully participate in the festival.</w:t>
      </w:r>
    </w:p>
    <w:p w14:paraId="6367AB40">
      <w:pPr>
        <w:numPr>
          <w:numId w:val="0"/>
        </w:numPr>
        <w:ind w:leftChars="0"/>
        <w:jc w:val="both"/>
        <w:rPr>
          <w:rFonts w:hint="eastAsia" w:ascii="Times New Roman" w:hAnsi="Times New Roman" w:cs="Times New Roman"/>
          <w:b w:val="0"/>
          <w:bCs/>
          <w:sz w:val="28"/>
          <w:szCs w:val="28"/>
          <w:lang w:val="en-US" w:eastAsia="zh-CN"/>
        </w:rPr>
      </w:pPr>
    </w:p>
    <w:p w14:paraId="4CF9BAC6">
      <w:pPr>
        <w:numPr>
          <w:numId w:val="0"/>
        </w:numPr>
        <w:ind w:leftChars="0"/>
        <w:jc w:val="both"/>
        <w:rPr>
          <w:rFonts w:hint="default" w:ascii="Times New Roman Bold" w:hAnsi="Times New Roman Bold" w:cs="Times New Roman Bold"/>
          <w:b/>
          <w:bCs w:val="0"/>
          <w:sz w:val="28"/>
          <w:szCs w:val="28"/>
          <w:lang w:val="en-US" w:eastAsia="zh-CN"/>
        </w:rPr>
      </w:pPr>
      <w:r>
        <w:rPr>
          <w:rFonts w:hint="default" w:ascii="Times New Roman Bold" w:hAnsi="Times New Roman Bold" w:cs="Times New Roman Bold"/>
          <w:b/>
          <w:bCs w:val="0"/>
          <w:sz w:val="28"/>
          <w:szCs w:val="28"/>
          <w:lang w:val="en-US" w:eastAsia="zh-CN"/>
        </w:rPr>
        <w:t>Rreference</w:t>
      </w:r>
    </w:p>
    <w:p w14:paraId="0D2EEC5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cs="Times New Roman Regular"/>
          <w:i w:val="0"/>
          <w:sz w:val="28"/>
          <w:szCs w:val="28"/>
        </w:rPr>
      </w:pPr>
      <w:r>
        <w:rPr>
          <w:rFonts w:hint="default" w:ascii="Times New Roman Regular" w:hAnsi="Times New Roman Regular" w:eastAsia="宋体" w:cs="Times New Roman Regular"/>
          <w:i w:val="0"/>
          <w:kern w:val="0"/>
          <w:sz w:val="28"/>
          <w:szCs w:val="28"/>
          <w:lang w:val="en-US" w:eastAsia="zh-CN" w:bidi="ar"/>
        </w:rPr>
        <w:t xml:space="preserve">Aker SC, Innes-Brown H, Faulkner KF, Vatti M and Marozeau J (2022) ‘Effect of audio-tactile congruence on vibrotactile music enhancement’, </w:t>
      </w:r>
      <w:r>
        <w:rPr>
          <w:rFonts w:hint="default" w:ascii="Times New Roman Regular" w:hAnsi="Times New Roman Regular" w:eastAsia="宋体" w:cs="Times New Roman Regular"/>
          <w:i w:val="0"/>
          <w:iCs/>
          <w:kern w:val="0"/>
          <w:sz w:val="28"/>
          <w:szCs w:val="28"/>
          <w:lang w:val="en-US" w:eastAsia="zh-CN" w:bidi="ar"/>
        </w:rPr>
        <w:t>The Journal of the Acoustical Society of America</w:t>
      </w:r>
      <w:r>
        <w:rPr>
          <w:rFonts w:hint="default" w:ascii="Times New Roman Regular" w:hAnsi="Times New Roman Regular" w:eastAsia="宋体" w:cs="Times New Roman Regular"/>
          <w:i w:val="0"/>
          <w:kern w:val="0"/>
          <w:sz w:val="28"/>
          <w:szCs w:val="28"/>
          <w:lang w:val="en-US" w:eastAsia="zh-CN" w:bidi="ar"/>
        </w:rPr>
        <w:t>, 152(6):3396–3409, doi:10.1121/10.0016444.</w:t>
      </w:r>
    </w:p>
    <w:p w14:paraId="59E158AC">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cs="Times New Roman Regular"/>
          <w:b w:val="0"/>
          <w:bCs/>
          <w:i w:val="0"/>
          <w:sz w:val="28"/>
          <w:szCs w:val="28"/>
          <w:lang w:val="en-US" w:eastAsia="zh-CN"/>
        </w:rPr>
      </w:pPr>
    </w:p>
    <w:p w14:paraId="6FF720B1">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serif" w:cs="Times New Roman Regular"/>
          <w:b w:val="0"/>
          <w:bCs w:val="0"/>
          <w:i w:val="0"/>
          <w:iCs w:val="0"/>
          <w:caps w:val="0"/>
          <w:color w:val="000000"/>
          <w:spacing w:val="0"/>
          <w:kern w:val="0"/>
          <w:sz w:val="28"/>
          <w:szCs w:val="28"/>
          <w:shd w:val="clear" w:fill="FFFFFF"/>
          <w:lang w:val="en-US" w:eastAsia="zh-CN" w:bidi="ar"/>
        </w:rPr>
        <w:t>Alex Hughes (2023)</w:t>
      </w:r>
      <w:r>
        <w:rPr>
          <w:rFonts w:hint="eastAsia" w:ascii="Times New Roman Regular" w:hAnsi="Times New Roman Regular" w:eastAsia="serif" w:cs="Times New Roman Regular"/>
          <w:b w:val="0"/>
          <w:bCs w:val="0"/>
          <w:i w:val="0"/>
          <w:iCs w:val="0"/>
          <w:caps w:val="0"/>
          <w:color w:val="000000"/>
          <w:spacing w:val="0"/>
          <w:kern w:val="0"/>
          <w:sz w:val="28"/>
          <w:szCs w:val="28"/>
          <w:shd w:val="clear" w:fill="FFFFFF"/>
          <w:lang w:val="en-US" w:eastAsia="zh-CN" w:bidi="ar"/>
        </w:rPr>
        <w:t xml:space="preserve"> </w:t>
      </w:r>
      <w:r>
        <w:rPr>
          <w:rFonts w:hint="default" w:ascii="Times New Roman Regular" w:hAnsi="Times New Roman Regular" w:eastAsia="T" w:cs="Times New Roman Regular"/>
          <w:b w:val="0"/>
          <w:bCs w:val="0"/>
          <w:i/>
          <w:iCs/>
          <w:caps w:val="0"/>
          <w:color w:val="000000"/>
          <w:spacing w:val="0"/>
          <w:kern w:val="0"/>
          <w:sz w:val="28"/>
          <w:szCs w:val="28"/>
          <w:shd w:val="clear" w:fill="FFFFFF"/>
          <w:lang w:val="en-US" w:eastAsia="zh-CN" w:bidi="ar"/>
        </w:rPr>
        <w:t xml:space="preserve">These vibrating vests bring music to life for deaf gig-goers, </w:t>
      </w:r>
      <w:r>
        <w:rPr>
          <w:rFonts w:hint="default" w:ascii="Times New Roman Regular" w:hAnsi="Times New Roman Regular" w:eastAsia="T" w:cs="Times New Roman Regular"/>
          <w:b w:val="0"/>
          <w:bCs w:val="0"/>
          <w:i w:val="0"/>
          <w:iCs w:val="0"/>
          <w:caps w:val="0"/>
          <w:color w:val="000000"/>
          <w:spacing w:val="0"/>
          <w:kern w:val="0"/>
          <w:sz w:val="28"/>
          <w:szCs w:val="28"/>
          <w:shd w:val="clear" w:fill="FFFFFF"/>
          <w:lang w:val="en-US" w:eastAsia="zh-CN" w:bidi="ar"/>
        </w:rPr>
        <w:t xml:space="preserve">BBC Science Focus,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accessed 30 October 2024.</w:t>
      </w:r>
    </w:p>
    <w:p w14:paraId="6D2F7323">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begin"/>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instrText xml:space="preserve"> HYPERLINK "https://www.sciencefocus.com/future-technology/these-vibrating-vests-bring-music-to-life-for-deaf-gig-goers" </w:instrTex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T" w:cs="Times New Roman Regular"/>
          <w:i w:val="0"/>
          <w:iCs w:val="0"/>
          <w:caps w:val="0"/>
          <w:spacing w:val="0"/>
          <w:kern w:val="0"/>
          <w:sz w:val="28"/>
          <w:szCs w:val="28"/>
          <w:shd w:val="clear" w:fill="FFFFFF"/>
          <w:lang w:val="en-US" w:eastAsia="zh-CN" w:bidi="ar"/>
        </w:rPr>
        <w:t>https://www.sciencefocus.com/future-technology/these-vibrating-vests-bring-music-to-life-for-deaf-gig-goers</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end"/>
      </w:r>
    </w:p>
    <w:p w14:paraId="084885E7">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cs="Times New Roman Regular"/>
          <w:b w:val="0"/>
          <w:bCs/>
          <w:i w:val="0"/>
          <w:sz w:val="28"/>
          <w:szCs w:val="28"/>
          <w:lang w:val="en-US" w:eastAsia="zh-CN"/>
        </w:rPr>
      </w:pPr>
    </w:p>
    <w:p w14:paraId="42C14336">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r>
        <w:rPr>
          <w:rFonts w:hint="default" w:ascii="Times New Roman Regular" w:hAnsi="Times New Roman Regular" w:eastAsia="宋体" w:cs="Times New Roman Regular"/>
          <w:i w:val="0"/>
          <w:kern w:val="0"/>
          <w:sz w:val="28"/>
          <w:szCs w:val="28"/>
          <w:lang w:val="en-US" w:eastAsia="zh-CN" w:bidi="ar"/>
        </w:rPr>
        <w:t xml:space="preserve">Bossey A (2020) ‘Accessibility all areas? UK live music industry perceptions of current practice and Information and Communication Technology improvements to accessibility for music festival attendees who are deaf or disabled’, </w:t>
      </w:r>
      <w:r>
        <w:rPr>
          <w:rFonts w:hint="default" w:ascii="Times New Roman Regular" w:hAnsi="Times New Roman Regular" w:eastAsia="宋体" w:cs="Times New Roman Regular"/>
          <w:i w:val="0"/>
          <w:iCs/>
          <w:kern w:val="0"/>
          <w:sz w:val="28"/>
          <w:szCs w:val="28"/>
          <w:lang w:val="en-US" w:eastAsia="zh-CN" w:bidi="ar"/>
        </w:rPr>
        <w:t>International journal of event and festival management</w:t>
      </w:r>
      <w:r>
        <w:rPr>
          <w:rFonts w:hint="default" w:ascii="Times New Roman Regular" w:hAnsi="Times New Roman Regular" w:eastAsia="宋体" w:cs="Times New Roman Regular"/>
          <w:i w:val="0"/>
          <w:kern w:val="0"/>
          <w:sz w:val="28"/>
          <w:szCs w:val="28"/>
          <w:lang w:val="en-US" w:eastAsia="zh-CN" w:bidi="ar"/>
        </w:rPr>
        <w:t>, 11(1):6–25, doi:10.1108/IJEFM-03-2019-0022.</w:t>
      </w:r>
    </w:p>
    <w:p w14:paraId="49EBA23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5A5559A2">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r>
        <w:rPr>
          <w:rFonts w:hint="default" w:ascii="Times New Roman Regular" w:hAnsi="Times New Roman Regular" w:eastAsia="宋体" w:cs="Times New Roman Regular"/>
          <w:i w:val="0"/>
          <w:kern w:val="0"/>
          <w:sz w:val="28"/>
          <w:szCs w:val="28"/>
          <w:lang w:val="en-US" w:eastAsia="zh-CN" w:bidi="ar"/>
        </w:rPr>
        <w:t>Brown S, Getz D, Pettersson R and Wallstam M (2015) ‘Event evaluation: definitions, concepts and a state of the art review’, International journal of event and festival management, 6(2):135–157, doi:10.1108/IJEFM-03-2015-0014.</w:t>
      </w:r>
    </w:p>
    <w:p w14:paraId="44A154B1">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cs="Times New Roman Regular"/>
          <w:b w:val="0"/>
          <w:bCs/>
          <w:i w:val="0"/>
          <w:sz w:val="28"/>
          <w:szCs w:val="28"/>
          <w:lang w:val="en-US" w:eastAsia="zh-CN"/>
        </w:rPr>
      </w:pPr>
    </w:p>
    <w:p w14:paraId="25123C5A">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cs="Times New Roman Regular"/>
          <w:b w:val="0"/>
          <w:bCs/>
          <w:i w:val="0"/>
          <w:sz w:val="28"/>
          <w:szCs w:val="28"/>
          <w:lang w:val="en-US" w:eastAsia="zh-CN"/>
        </w:rPr>
      </w:pPr>
    </w:p>
    <w:p w14:paraId="1737F3AF">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fldChar w:fldCharType="begin"/>
      </w:r>
      <w:r>
        <w:rPr>
          <w:rFonts w:hint="default" w:ascii="Times New Roman Regular" w:hAnsi="Times New Roman Regular" w:cs="Times New Roman Regular"/>
          <w:b w:val="0"/>
          <w:bCs/>
          <w:sz w:val="28"/>
          <w:szCs w:val="28"/>
          <w:lang w:val="en-US" w:eastAsia="zh-CN"/>
        </w:rPr>
        <w:instrText xml:space="preserve"> HYPERLINK "https://www.abc.net.au/triplej/claire-bracken/9332412" </w:instrText>
      </w:r>
      <w:r>
        <w:rPr>
          <w:rFonts w:hint="default" w:ascii="Times New Roman Regular" w:hAnsi="Times New Roman Regular" w:cs="Times New Roman Regular"/>
          <w:b w:val="0"/>
          <w:bCs/>
          <w:sz w:val="28"/>
          <w:szCs w:val="28"/>
          <w:lang w:val="en-US" w:eastAsia="zh-CN"/>
        </w:rPr>
        <w:fldChar w:fldCharType="separate"/>
      </w:r>
      <w:r>
        <w:rPr>
          <w:rFonts w:hint="default" w:ascii="Times New Roman Regular" w:hAnsi="Times New Roman Regular" w:cs="Times New Roman Regular"/>
          <w:b w:val="0"/>
          <w:bCs/>
          <w:sz w:val="28"/>
          <w:szCs w:val="28"/>
          <w:lang w:val="en-US" w:eastAsia="zh-CN"/>
        </w:rPr>
        <w:t>Claire Bracken</w:t>
      </w:r>
      <w:r>
        <w:rPr>
          <w:rFonts w:hint="default" w:ascii="Times New Roman Regular" w:hAnsi="Times New Roman Regular" w:cs="Times New Roman Regular"/>
          <w:b w:val="0"/>
          <w:bCs/>
          <w:sz w:val="28"/>
          <w:szCs w:val="28"/>
          <w:lang w:val="en-US" w:eastAsia="zh-CN"/>
        </w:rPr>
        <w:fldChar w:fldCharType="end"/>
      </w:r>
      <w:r>
        <w:rPr>
          <w:rFonts w:hint="default" w:ascii="Times New Roman Regular" w:hAnsi="Times New Roman Regular" w:cs="Times New Roman Regular"/>
          <w:b w:val="0"/>
          <w:bCs/>
          <w:sz w:val="28"/>
          <w:szCs w:val="28"/>
          <w:lang w:val="en-US" w:eastAsia="zh-CN"/>
        </w:rPr>
        <w:t xml:space="preserve"> (2021) Sign language interpreter on the art of signing at music festivals, triple J, accessed 30 October 2024.</w:t>
      </w:r>
    </w:p>
    <w:p w14:paraId="7073EDAC">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begin"/>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instrText xml:space="preserve"> HYPERLINK "https://www.abc.net.au/triplej/the-latest/sign-language-interpreter-music-festival-wap-lollapalooza-auslan/13486814" </w:instrTex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T" w:cs="Times New Roman Regular"/>
          <w:i w:val="0"/>
          <w:iCs w:val="0"/>
          <w:caps w:val="0"/>
          <w:spacing w:val="0"/>
          <w:kern w:val="0"/>
          <w:sz w:val="28"/>
          <w:szCs w:val="28"/>
          <w:shd w:val="clear" w:fill="FFFFFF"/>
          <w:lang w:val="en-US" w:eastAsia="zh-CN" w:bidi="ar"/>
        </w:rPr>
        <w:t>https://www.abc.net.au/triplej/the-latest/sign-language-interpreter-music-festival-wap-lollapalooza-auslan/13486814</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end"/>
      </w:r>
    </w:p>
    <w:p w14:paraId="3C145EC0">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p>
    <w:p w14:paraId="0D5022AA">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p>
    <w:p w14:paraId="322D5241">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cs="Times New Roman Regular"/>
          <w:b w:val="0"/>
          <w:bCs/>
          <w:sz w:val="28"/>
          <w:szCs w:val="28"/>
          <w:lang w:val="en-US" w:eastAsia="zh-CN"/>
        </w:rPr>
        <w:t>CYMA Space</w:t>
      </w:r>
      <w:r>
        <w:rPr>
          <w:rFonts w:hint="default" w:ascii="Times New Roman Regular" w:hAnsi="Times New Roman Regular" w:cs="Times New Roman Regular"/>
          <w:b w:val="0"/>
          <w:bCs/>
          <w:sz w:val="28"/>
          <w:szCs w:val="28"/>
          <w:lang w:val="en-US" w:eastAsia="zh-CN"/>
        </w:rPr>
        <w:t xml:space="preserve"> (2024) </w:t>
      </w:r>
      <w:r>
        <w:rPr>
          <w:rFonts w:hint="default" w:ascii="Times New Roman Regular" w:hAnsi="Times New Roman Regular" w:eastAsia="T" w:cs="Times New Roman Regular"/>
          <w:b w:val="0"/>
          <w:bCs/>
          <w:i/>
          <w:iCs/>
          <w:sz w:val="28"/>
          <w:szCs w:val="28"/>
          <w:lang w:val="en-US" w:eastAsia="zh-CN"/>
        </w:rPr>
        <w:t>Audiolux: A Modern “Visual Sound” System for Deaf &amp; Hard-of-Hearing</w:t>
      </w:r>
      <w:r>
        <w:rPr>
          <w:rFonts w:hint="default" w:ascii="Times New Roman Regular" w:hAnsi="Times New Roman Regular" w:cs="Times New Roman Regular"/>
          <w:b w:val="0"/>
          <w:bCs/>
          <w:sz w:val="28"/>
          <w:szCs w:val="28"/>
          <w:lang w:val="en-US" w:eastAsia="zh-CN"/>
        </w:rPr>
        <w:t xml:space="preserve">, CYMA </w:t>
      </w:r>
      <w:r>
        <w:rPr>
          <w:rFonts w:hint="default" w:ascii="Times New Roman Regular" w:hAnsi="Times New Roman Regular" w:cs="Times New Roman Regular"/>
          <w:b w:val="0"/>
          <w:bCs/>
          <w:sz w:val="28"/>
          <w:szCs w:val="28"/>
          <w:lang w:val="en-US" w:eastAsia="zh-CN"/>
        </w:rPr>
        <w:t>Space</w:t>
      </w:r>
      <w:r>
        <w:rPr>
          <w:rFonts w:hint="default" w:ascii="Times New Roman Regular" w:hAnsi="Times New Roman Regular" w:cs="Times New Roman Regular"/>
          <w:b w:val="0"/>
          <w:bCs/>
          <w:sz w:val="28"/>
          <w:szCs w:val="28"/>
          <w:lang w:val="en-US" w:eastAsia="zh-CN"/>
        </w:rPr>
        <w:t>, accessed 30 October 2024.</w:t>
      </w:r>
    </w:p>
    <w:p w14:paraId="09D89C26">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i/>
          <w:iCs/>
          <w:sz w:val="28"/>
          <w:szCs w:val="28"/>
          <w:lang w:val="en-US" w:eastAsia="zh-CN"/>
        </w:rPr>
      </w:pPr>
      <w:r>
        <w:rPr>
          <w:rFonts w:hint="default"/>
          <w:i/>
          <w:iCs/>
          <w:sz w:val="28"/>
          <w:szCs w:val="28"/>
          <w:lang w:val="en-US" w:eastAsia="zh-CN"/>
        </w:rPr>
        <w:fldChar w:fldCharType="begin"/>
      </w:r>
      <w:r>
        <w:rPr>
          <w:rFonts w:hint="default"/>
          <w:i/>
          <w:iCs/>
          <w:sz w:val="28"/>
          <w:szCs w:val="28"/>
          <w:lang w:val="en-US" w:eastAsia="zh-CN"/>
        </w:rPr>
        <w:instrText xml:space="preserve"> HYPERLINK "https://www.cymaspace.org/audiolux/" </w:instrText>
      </w:r>
      <w:r>
        <w:rPr>
          <w:rFonts w:hint="default"/>
          <w:i/>
          <w:iCs/>
          <w:sz w:val="28"/>
          <w:szCs w:val="28"/>
          <w:lang w:val="en-US" w:eastAsia="zh-CN"/>
        </w:rPr>
        <w:fldChar w:fldCharType="separate"/>
      </w:r>
      <w:r>
        <w:rPr>
          <w:rStyle w:val="6"/>
          <w:rFonts w:hint="default"/>
          <w:i/>
          <w:iCs/>
          <w:sz w:val="28"/>
          <w:szCs w:val="28"/>
          <w:lang w:val="en-US" w:eastAsia="zh-CN"/>
        </w:rPr>
        <w:t>https://www.cymaspace.org/audiolux/</w:t>
      </w:r>
      <w:r>
        <w:rPr>
          <w:rFonts w:hint="default"/>
          <w:i/>
          <w:iCs/>
          <w:sz w:val="28"/>
          <w:szCs w:val="28"/>
          <w:lang w:val="en-US" w:eastAsia="zh-CN"/>
        </w:rPr>
        <w:fldChar w:fldCharType="end"/>
      </w:r>
    </w:p>
    <w:p w14:paraId="2530032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1F1AAD15">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Deaf Australia (2024) </w: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t xml:space="preserve">About Deaf Australia,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Deaf Australia</w: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accessed 30 October 2024.</w:t>
      </w:r>
    </w:p>
    <w:p w14:paraId="16B0BEE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begin"/>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instrText xml:space="preserve"> HYPERLINK "https://deafaustralia.org.au/about-deaf-australia/" </w:instrTex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T" w:cs="Times New Roman Regular"/>
          <w:i w:val="0"/>
          <w:iCs w:val="0"/>
          <w:caps w:val="0"/>
          <w:spacing w:val="0"/>
          <w:kern w:val="0"/>
          <w:sz w:val="28"/>
          <w:szCs w:val="28"/>
          <w:shd w:val="clear" w:fill="FFFFFF"/>
          <w:lang w:val="en-US" w:eastAsia="zh-CN" w:bidi="ar"/>
        </w:rPr>
        <w:t>https://deafaustralia.org.au/about-deaf-australia/</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end"/>
      </w:r>
    </w:p>
    <w:p w14:paraId="356F1730">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p>
    <w:p w14:paraId="6ABDA46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065824D9">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Deaf connect (2024) </w: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t xml:space="preserve">About us, </w: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Deaf connect,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accessed 30 October 2024.</w:t>
      </w:r>
    </w:p>
    <w:p w14:paraId="1C9014C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iCs w:val="0"/>
          <w:caps w:val="0"/>
          <w:color w:val="000000"/>
          <w:spacing w:val="0"/>
          <w:kern w:val="0"/>
          <w:sz w:val="28"/>
          <w:szCs w:val="28"/>
          <w:shd w:val="clear" w:fill="FFFFFF"/>
          <w:lang w:val="en-US" w:eastAsia="zh-CN" w:bidi="ar"/>
        </w:rPr>
      </w:pPr>
      <w:r>
        <w:rPr>
          <w:rFonts w:hint="default" w:ascii="Times New Roman Regular" w:hAnsi="Times New Roman Regular" w:eastAsia="T" w:cs="Times New Roman Regular"/>
          <w:i/>
          <w:iCs w:val="0"/>
          <w:caps w:val="0"/>
          <w:color w:val="000000"/>
          <w:spacing w:val="0"/>
          <w:kern w:val="0"/>
          <w:sz w:val="28"/>
          <w:szCs w:val="28"/>
          <w:shd w:val="clear" w:fill="FFFFFF"/>
          <w:lang w:val="en-US" w:eastAsia="zh-CN" w:bidi="ar"/>
        </w:rPr>
        <w:fldChar w:fldCharType="begin"/>
      </w:r>
      <w:r>
        <w:rPr>
          <w:rFonts w:hint="default" w:ascii="Times New Roman Regular" w:hAnsi="Times New Roman Regular" w:eastAsia="T" w:cs="Times New Roman Regular"/>
          <w:i/>
          <w:iCs w:val="0"/>
          <w:caps w:val="0"/>
          <w:color w:val="000000"/>
          <w:spacing w:val="0"/>
          <w:kern w:val="0"/>
          <w:sz w:val="28"/>
          <w:szCs w:val="28"/>
          <w:shd w:val="clear" w:fill="FFFFFF"/>
          <w:lang w:val="en-US" w:eastAsia="zh-CN" w:bidi="ar"/>
        </w:rPr>
        <w:instrText xml:space="preserve"> HYPERLINK "https://deafconnect.org.au/about-us" </w:instrText>
      </w:r>
      <w:r>
        <w:rPr>
          <w:rFonts w:hint="default" w:ascii="Times New Roman Regular" w:hAnsi="Times New Roman Regular" w:eastAsia="T" w:cs="Times New Roman Regular"/>
          <w:i/>
          <w:iCs w:val="0"/>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T" w:cs="Times New Roman Regular"/>
          <w:i/>
          <w:iCs w:val="0"/>
          <w:caps w:val="0"/>
          <w:spacing w:val="0"/>
          <w:kern w:val="0"/>
          <w:sz w:val="28"/>
          <w:szCs w:val="28"/>
          <w:shd w:val="clear" w:fill="FFFFFF"/>
          <w:lang w:val="en-US" w:eastAsia="zh-CN" w:bidi="ar"/>
        </w:rPr>
        <w:t>https://deafconnect.org.au/about-us</w:t>
      </w:r>
      <w:r>
        <w:rPr>
          <w:rFonts w:hint="default" w:ascii="Times New Roman Regular" w:hAnsi="Times New Roman Regular" w:eastAsia="T" w:cs="Times New Roman Regular"/>
          <w:i/>
          <w:iCs w:val="0"/>
          <w:caps w:val="0"/>
          <w:color w:val="000000"/>
          <w:spacing w:val="0"/>
          <w:kern w:val="0"/>
          <w:sz w:val="28"/>
          <w:szCs w:val="28"/>
          <w:shd w:val="clear" w:fill="FFFFFF"/>
          <w:lang w:val="en-US" w:eastAsia="zh-CN" w:bidi="ar"/>
        </w:rPr>
        <w:fldChar w:fldCharType="end"/>
      </w:r>
    </w:p>
    <w:p w14:paraId="14C70AB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716E5F9D">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D</w:t>
      </w:r>
      <w:r>
        <w:rPr>
          <w:rFonts w:hint="eastAsia" w:ascii="Times New Roman Regular" w:hAnsi="Times New Roman Regular" w:eastAsia="serif" w:cs="Times New Roman Regular"/>
          <w:i w:val="0"/>
          <w:iCs w:val="0"/>
          <w:caps w:val="0"/>
          <w:color w:val="000000"/>
          <w:spacing w:val="0"/>
          <w:kern w:val="0"/>
          <w:sz w:val="28"/>
          <w:szCs w:val="28"/>
          <w:shd w:val="clear" w:fill="FFFFFF"/>
          <w:lang w:val="en-US" w:eastAsia="zh-CN" w:bidi="ar"/>
        </w:rPr>
        <w:t>eaf</w: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 Victoria (2024) A</w: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t xml:space="preserve">bout us, </w: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D</w:t>
      </w:r>
      <w:r>
        <w:rPr>
          <w:rFonts w:hint="eastAsia" w:ascii="Times New Roman Regular" w:hAnsi="Times New Roman Regular" w:eastAsia="serif" w:cs="Times New Roman Regular"/>
          <w:i w:val="0"/>
          <w:iCs w:val="0"/>
          <w:caps w:val="0"/>
          <w:color w:val="000000"/>
          <w:spacing w:val="0"/>
          <w:kern w:val="0"/>
          <w:sz w:val="28"/>
          <w:szCs w:val="28"/>
          <w:shd w:val="clear" w:fill="FFFFFF"/>
          <w:lang w:val="en-US" w:eastAsia="zh-CN" w:bidi="ar"/>
        </w:rPr>
        <w:t>eaf</w: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 Victoria,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accessed 30 October 2024.</w:t>
      </w:r>
    </w:p>
    <w:p w14:paraId="7CF30E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jc w:val="left"/>
        <w:textAlignment w:val="auto"/>
        <w:rPr>
          <w:rFonts w:hint="default" w:ascii="serif" w:hAnsi="serif" w:eastAsia="serif" w:cs="serif"/>
          <w:i w:val="0"/>
          <w:iCs w:val="0"/>
          <w:caps w:val="0"/>
          <w:color w:val="000000"/>
          <w:spacing w:val="0"/>
          <w:kern w:val="0"/>
          <w:sz w:val="28"/>
          <w:szCs w:val="28"/>
          <w:shd w:val="clear" w:fill="FFFFFF"/>
          <w:lang w:val="en-US" w:eastAsia="zh-CN" w:bidi="ar"/>
        </w:rPr>
      </w:pPr>
      <w:r>
        <w:rPr>
          <w:rFonts w:hint="default" w:ascii="serif" w:hAnsi="serif" w:eastAsia="serif" w:cs="serif"/>
          <w:i w:val="0"/>
          <w:iCs w:val="0"/>
          <w:caps w:val="0"/>
          <w:color w:val="000000"/>
          <w:spacing w:val="0"/>
          <w:kern w:val="0"/>
          <w:sz w:val="28"/>
          <w:szCs w:val="28"/>
          <w:shd w:val="clear" w:fill="FFFFFF"/>
          <w:lang w:val="en-US" w:eastAsia="zh-CN" w:bidi="ar"/>
        </w:rPr>
        <w:fldChar w:fldCharType="begin"/>
      </w:r>
      <w:r>
        <w:rPr>
          <w:rFonts w:hint="default" w:ascii="serif" w:hAnsi="serif" w:eastAsia="serif" w:cs="serif"/>
          <w:i w:val="0"/>
          <w:iCs w:val="0"/>
          <w:caps w:val="0"/>
          <w:color w:val="000000"/>
          <w:spacing w:val="0"/>
          <w:kern w:val="0"/>
          <w:sz w:val="28"/>
          <w:szCs w:val="28"/>
          <w:shd w:val="clear" w:fill="FFFFFF"/>
          <w:lang w:val="en-US" w:eastAsia="zh-CN" w:bidi="ar"/>
        </w:rPr>
        <w:instrText xml:space="preserve"> HYPERLINK "https://www.deafvictoria.org.au/about-us/" </w:instrText>
      </w:r>
      <w:r>
        <w:rPr>
          <w:rFonts w:hint="default" w:ascii="serif" w:hAnsi="serif" w:eastAsia="serif" w:cs="serif"/>
          <w:i w:val="0"/>
          <w:iCs w:val="0"/>
          <w:caps w:val="0"/>
          <w:color w:val="000000"/>
          <w:spacing w:val="0"/>
          <w:kern w:val="0"/>
          <w:sz w:val="28"/>
          <w:szCs w:val="28"/>
          <w:shd w:val="clear" w:fill="FFFFFF"/>
          <w:lang w:val="en-US" w:eastAsia="zh-CN" w:bidi="ar"/>
        </w:rPr>
        <w:fldChar w:fldCharType="separate"/>
      </w:r>
      <w:r>
        <w:rPr>
          <w:rStyle w:val="6"/>
          <w:rFonts w:hint="default" w:ascii="serif" w:hAnsi="serif" w:eastAsia="serif" w:cs="serif"/>
          <w:i w:val="0"/>
          <w:iCs w:val="0"/>
          <w:caps w:val="0"/>
          <w:spacing w:val="0"/>
          <w:kern w:val="0"/>
          <w:sz w:val="28"/>
          <w:szCs w:val="28"/>
          <w:shd w:val="clear" w:fill="FFFFFF"/>
          <w:lang w:val="en-US" w:eastAsia="zh-CN" w:bidi="ar"/>
        </w:rPr>
        <w:t>https://www.deafvictoria.org.au/about-us/</w:t>
      </w:r>
      <w:r>
        <w:rPr>
          <w:rFonts w:hint="default" w:ascii="serif" w:hAnsi="serif" w:eastAsia="serif" w:cs="serif"/>
          <w:i w:val="0"/>
          <w:iCs w:val="0"/>
          <w:caps w:val="0"/>
          <w:color w:val="000000"/>
          <w:spacing w:val="0"/>
          <w:kern w:val="0"/>
          <w:sz w:val="28"/>
          <w:szCs w:val="28"/>
          <w:shd w:val="clear" w:fill="FFFFFF"/>
          <w:lang w:val="en-US" w:eastAsia="zh-CN" w:bidi="ar"/>
        </w:rPr>
        <w:fldChar w:fldCharType="end"/>
      </w:r>
    </w:p>
    <w:p w14:paraId="6757073C">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479BA406">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3724D60E">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cs="Times New Roman Regular"/>
          <w:i w:val="0"/>
          <w:iCs/>
          <w:sz w:val="28"/>
          <w:szCs w:val="28"/>
          <w:lang w:val="en-US" w:eastAsia="zh-CN"/>
        </w:rPr>
      </w:pPr>
      <w:r>
        <w:rPr>
          <w:rFonts w:hint="default" w:ascii="Times New Roman Regular" w:hAnsi="Times New Roman Regular" w:cs="Times New Roman Regular"/>
          <w:i w:val="0"/>
          <w:sz w:val="28"/>
          <w:szCs w:val="28"/>
          <w:lang w:val="en-US" w:eastAsia="zh-CN"/>
        </w:rPr>
        <w:t>El hunt (2022)</w:t>
      </w:r>
      <w:r>
        <w:rPr>
          <w:rFonts w:hint="default" w:ascii="Times New Roman Regular" w:hAnsi="Times New Roman Regular" w:cs="Times New Roman Regular"/>
          <w:i w:val="0"/>
          <w:iCs/>
          <w:sz w:val="28"/>
          <w:szCs w:val="28"/>
          <w:lang w:val="en-US" w:eastAsia="zh-CN"/>
        </w:rPr>
        <w:t xml:space="preserve"> </w:t>
      </w:r>
      <w:r>
        <w:rPr>
          <w:rFonts w:hint="default" w:ascii="Times New Roman Regular" w:hAnsi="Times New Roman Regular" w:eastAsia="T" w:cs="Times New Roman Regular"/>
          <w:i/>
          <w:iCs/>
          <w:sz w:val="28"/>
          <w:szCs w:val="28"/>
          <w:lang w:val="en-US" w:eastAsia="zh-CN"/>
        </w:rPr>
        <w:t>Access All Areas: Making space for Deaf and hearing impaired music fans Access All Areas</w:t>
      </w:r>
      <w:r>
        <w:rPr>
          <w:rFonts w:hint="default" w:ascii="Times New Roman Regular" w:hAnsi="Times New Roman Regular" w:cs="Times New Roman Regular"/>
          <w:i w:val="0"/>
          <w:iCs/>
          <w:sz w:val="28"/>
          <w:szCs w:val="28"/>
          <w:lang w:val="en-US" w:eastAsia="zh-CN"/>
        </w:rPr>
        <w:t>,</w:t>
      </w:r>
      <w:r>
        <w:rPr>
          <w:rFonts w:hint="default" w:ascii="Times New Roman Regular" w:hAnsi="Times New Roman Regular" w:cs="Times New Roman Regular"/>
          <w:i w:val="0"/>
          <w:iCs w:val="0"/>
          <w:sz w:val="28"/>
          <w:szCs w:val="28"/>
          <w:lang w:val="en-US" w:eastAsia="zh-CN"/>
        </w:rPr>
        <w:t xml:space="preserve"> PRS for Music, </w:t>
      </w:r>
      <w:r>
        <w:rPr>
          <w:rFonts w:hint="default" w:ascii="Times New Roman Regular" w:hAnsi="Times New Roman Regular" w:cs="Times New Roman Regular"/>
          <w:i w:val="0"/>
          <w:sz w:val="28"/>
          <w:szCs w:val="28"/>
          <w:lang w:val="en-US" w:eastAsia="zh-CN"/>
        </w:rPr>
        <w:t>accessed 30 October 2024.</w:t>
      </w:r>
    </w:p>
    <w:p w14:paraId="23D582A4">
      <w:pPr>
        <w:keepNext w:val="0"/>
        <w:keepLines w:val="0"/>
        <w:pageBreakBefore w:val="0"/>
        <w:kinsoku/>
        <w:wordWrap/>
        <w:overflowPunct/>
        <w:topLinePunct w:val="0"/>
        <w:autoSpaceDE/>
        <w:autoSpaceDN/>
        <w:bidi w:val="0"/>
        <w:adjustRightInd/>
        <w:snapToGrid/>
        <w:spacing w:line="480" w:lineRule="auto"/>
        <w:textAlignment w:val="auto"/>
        <w:rPr>
          <w:rFonts w:hint="default"/>
          <w:i w:val="0"/>
          <w:iCs w:val="0"/>
          <w:sz w:val="28"/>
          <w:szCs w:val="28"/>
          <w:lang w:val="en-US" w:eastAsia="zh-CN"/>
        </w:rPr>
      </w:pPr>
      <w:r>
        <w:rPr>
          <w:rFonts w:hint="default"/>
          <w:i w:val="0"/>
          <w:iCs w:val="0"/>
          <w:sz w:val="28"/>
          <w:szCs w:val="28"/>
          <w:lang w:val="en-US" w:eastAsia="zh-CN"/>
        </w:rPr>
        <w:fldChar w:fldCharType="begin"/>
      </w:r>
      <w:r>
        <w:rPr>
          <w:rFonts w:hint="default"/>
          <w:i w:val="0"/>
          <w:iCs w:val="0"/>
          <w:sz w:val="28"/>
          <w:szCs w:val="28"/>
          <w:lang w:val="en-US" w:eastAsia="zh-CN"/>
        </w:rPr>
        <w:instrText xml:space="preserve"> HYPERLINK "https://www.prsformusic.com/m-magazine/features/access-all-areas-making-space-for-deaf-and-hearing-impaired-music-fans" </w:instrText>
      </w:r>
      <w:r>
        <w:rPr>
          <w:rFonts w:hint="default"/>
          <w:i w:val="0"/>
          <w:iCs w:val="0"/>
          <w:sz w:val="28"/>
          <w:szCs w:val="28"/>
          <w:lang w:val="en-US" w:eastAsia="zh-CN"/>
        </w:rPr>
        <w:fldChar w:fldCharType="separate"/>
      </w:r>
      <w:r>
        <w:rPr>
          <w:rStyle w:val="6"/>
          <w:rFonts w:hint="default"/>
          <w:i w:val="0"/>
          <w:iCs w:val="0"/>
          <w:sz w:val="28"/>
          <w:szCs w:val="28"/>
          <w:lang w:val="en-US" w:eastAsia="zh-CN"/>
        </w:rPr>
        <w:t>https://www.prsformusic.com/m-magazine/features/access-all-areas-making-space-for-deaf-and-hearing-impaired-music-fans</w:t>
      </w:r>
      <w:r>
        <w:rPr>
          <w:rFonts w:hint="default"/>
          <w:i w:val="0"/>
          <w:iCs w:val="0"/>
          <w:sz w:val="28"/>
          <w:szCs w:val="28"/>
          <w:lang w:val="en-US" w:eastAsia="zh-CN"/>
        </w:rPr>
        <w:fldChar w:fldCharType="end"/>
      </w:r>
    </w:p>
    <w:p w14:paraId="0366B491">
      <w:pPr>
        <w:keepNext w:val="0"/>
        <w:keepLines w:val="0"/>
        <w:pageBreakBefore w:val="0"/>
        <w:kinsoku/>
        <w:wordWrap/>
        <w:overflowPunct/>
        <w:topLinePunct w:val="0"/>
        <w:autoSpaceDE/>
        <w:autoSpaceDN/>
        <w:bidi w:val="0"/>
        <w:adjustRightInd/>
        <w:snapToGrid/>
        <w:spacing w:line="480" w:lineRule="auto"/>
        <w:textAlignment w:val="auto"/>
        <w:rPr>
          <w:rFonts w:hint="default"/>
          <w:i w:val="0"/>
          <w:iCs w:val="0"/>
          <w:lang w:val="en-US" w:eastAsia="zh-CN"/>
        </w:rPr>
      </w:pPr>
    </w:p>
    <w:p w14:paraId="468D1898">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cs="Times New Roman Regular"/>
          <w:sz w:val="28"/>
          <w:szCs w:val="28"/>
          <w:lang w:val="en-US" w:eastAsia="zh-CN"/>
        </w:rPr>
      </w:pPr>
      <w:r>
        <w:rPr>
          <w:rFonts w:hint="default" w:ascii="Times New Roman Regular" w:hAnsi="Times New Roman Regular" w:cs="Times New Roman Regular"/>
          <w:sz w:val="28"/>
          <w:szCs w:val="28"/>
          <w:lang w:val="en-US" w:eastAsia="zh-CN"/>
        </w:rPr>
        <w:t>Gaupp L (</w:t>
      </w:r>
      <w:r>
        <w:rPr>
          <w:rFonts w:hint="eastAsia" w:ascii="Times New Roman Regular" w:hAnsi="Times New Roman Regular" w:cs="Times New Roman Regular"/>
          <w:sz w:val="28"/>
          <w:szCs w:val="28"/>
          <w:lang w:val="en-US" w:eastAsia="zh-CN"/>
        </w:rPr>
        <w:t>2020</w:t>
      </w:r>
      <w:r>
        <w:rPr>
          <w:rFonts w:hint="default" w:ascii="Times New Roman Regular" w:hAnsi="Times New Roman Regular" w:cs="Times New Roman Regular"/>
          <w:sz w:val="28"/>
          <w:szCs w:val="28"/>
          <w:lang w:val="en-US" w:eastAsia="zh-CN"/>
        </w:rPr>
        <w:t>) ‘The “West” versus “the Rest”? Festival Curators as Gatekeepers for Sociocultural Diversity’, in Managing Culture, Springer International Publishing, Cham, doi:10.1007/978-3-030-24646-4_6.</w:t>
      </w:r>
    </w:p>
    <w:p w14:paraId="5F920D3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4"/>
          <w:szCs w:val="24"/>
          <w:lang w:val="en-US" w:eastAsia="zh-CN" w:bidi="ar"/>
        </w:rPr>
      </w:pPr>
    </w:p>
    <w:p w14:paraId="3CD5EEEE">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cs="Times New Roman Regular"/>
          <w:sz w:val="28"/>
          <w:szCs w:val="28"/>
          <w:lang w:val="en-US" w:eastAsia="zh-CN"/>
        </w:rPr>
      </w:pPr>
      <w:r>
        <w:rPr>
          <w:rFonts w:hint="default" w:ascii="Times New Roman Regular" w:hAnsi="Times New Roman Regular" w:cs="Times New Roman Regular"/>
          <w:sz w:val="28"/>
          <w:szCs w:val="28"/>
          <w:lang w:val="en-US" w:eastAsia="zh-CN"/>
        </w:rPr>
        <w:t xml:space="preserve">Get Skilled Access (2024) </w:t>
      </w:r>
      <w:r>
        <w:rPr>
          <w:rFonts w:hint="default" w:ascii="Times New Roman Regular" w:hAnsi="Times New Roman Regular" w:eastAsia="T" w:cs="Times New Roman Regular"/>
          <w:i/>
          <w:iCs/>
          <w:sz w:val="28"/>
          <w:szCs w:val="28"/>
          <w:lang w:val="en-US" w:eastAsia="zh-CN"/>
        </w:rPr>
        <w:t>The Auslan Revolution: Transforming Live Music Accessibility in Australia</w:t>
      </w:r>
      <w:r>
        <w:rPr>
          <w:rFonts w:hint="default" w:ascii="Times New Roman Regular" w:hAnsi="Times New Roman Regular" w:cs="Times New Roman Regular"/>
          <w:sz w:val="28"/>
          <w:szCs w:val="28"/>
          <w:lang w:val="en-US" w:eastAsia="zh-CN"/>
        </w:rPr>
        <w:t>, Get Skilled Access, accessed 30 October 2024.</w:t>
      </w:r>
    </w:p>
    <w:p w14:paraId="0190501D">
      <w:pPr>
        <w:keepNext w:val="0"/>
        <w:keepLines w:val="0"/>
        <w:pageBreakBefore w:val="0"/>
        <w:kinsoku/>
        <w:wordWrap/>
        <w:overflowPunct/>
        <w:topLinePunct w:val="0"/>
        <w:autoSpaceDE/>
        <w:autoSpaceDN/>
        <w:bidi w:val="0"/>
        <w:adjustRightInd/>
        <w:snapToGrid/>
        <w:spacing w:line="480" w:lineRule="auto"/>
        <w:textAlignment w:val="auto"/>
        <w:rPr>
          <w:rFonts w:hint="default"/>
          <w:sz w:val="28"/>
          <w:szCs w:val="28"/>
          <w:lang w:val="en-US" w:eastAsia="zh-CN"/>
        </w:rPr>
      </w:pPr>
      <w:r>
        <w:rPr>
          <w:rFonts w:hint="default"/>
          <w:sz w:val="28"/>
          <w:szCs w:val="28"/>
          <w:lang w:val="en-US" w:eastAsia="zh-CN"/>
        </w:rPr>
        <w:fldChar w:fldCharType="begin"/>
      </w:r>
      <w:r>
        <w:rPr>
          <w:rFonts w:hint="default"/>
          <w:sz w:val="28"/>
          <w:szCs w:val="28"/>
          <w:lang w:val="en-US" w:eastAsia="zh-CN"/>
        </w:rPr>
        <w:instrText xml:space="preserve"> HYPERLINK "https://getskilledaccess.com.au/blog/auslan-interpretation-revolutionising-live-music-accessibility-in-australia/" </w:instrText>
      </w:r>
      <w:r>
        <w:rPr>
          <w:rFonts w:hint="default"/>
          <w:sz w:val="28"/>
          <w:szCs w:val="28"/>
          <w:lang w:val="en-US" w:eastAsia="zh-CN"/>
        </w:rPr>
        <w:fldChar w:fldCharType="separate"/>
      </w:r>
      <w:r>
        <w:rPr>
          <w:rStyle w:val="6"/>
          <w:rFonts w:hint="default"/>
          <w:sz w:val="28"/>
          <w:szCs w:val="28"/>
          <w:lang w:val="en-US" w:eastAsia="zh-CN"/>
        </w:rPr>
        <w:t>https://getskilledaccess.com.au/blog/auslan-interpretation-revolutionising-live-music-accessibility-in-australia/</w:t>
      </w:r>
      <w:r>
        <w:rPr>
          <w:rFonts w:hint="default"/>
          <w:sz w:val="28"/>
          <w:szCs w:val="28"/>
          <w:lang w:val="en-US" w:eastAsia="zh-CN"/>
        </w:rPr>
        <w:fldChar w:fldCharType="end"/>
      </w:r>
    </w:p>
    <w:p w14:paraId="667381F9">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w:hAnsi="Times New Roman" w:cs="Times New Roman"/>
          <w:b w:val="0"/>
          <w:bCs/>
          <w:sz w:val="28"/>
          <w:szCs w:val="28"/>
          <w:lang w:val="en-US" w:eastAsia="zh-CN"/>
        </w:rPr>
      </w:pPr>
    </w:p>
    <w:p w14:paraId="0D325C51">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cs="Times New Roman Regular"/>
          <w:b w:val="0"/>
          <w:bCs/>
          <w:sz w:val="28"/>
          <w:szCs w:val="28"/>
          <w:lang w:val="en-US" w:eastAsia="zh-CN"/>
        </w:rPr>
        <w:t xml:space="preserve">Her Majesty's Theatre (2024) </w:t>
      </w:r>
      <w:r>
        <w:rPr>
          <w:rFonts w:hint="default" w:ascii="Times New Roman Regular" w:hAnsi="Times New Roman Regular" w:cs="Times New Roman Regular"/>
          <w:b w:val="0"/>
          <w:bCs/>
          <w:i/>
          <w:iCs/>
          <w:sz w:val="28"/>
          <w:szCs w:val="28"/>
          <w:lang w:val="en-US" w:eastAsia="zh-CN"/>
        </w:rPr>
        <w:t xml:space="preserve">Her Majesty's Theatre history, </w:t>
      </w:r>
      <w:r>
        <w:rPr>
          <w:rFonts w:hint="default" w:ascii="Times New Roman Regular" w:hAnsi="Times New Roman Regular" w:cs="Times New Roman Regular"/>
          <w:b w:val="0"/>
          <w:bCs/>
          <w:sz w:val="28"/>
          <w:szCs w:val="28"/>
          <w:lang w:val="en-US" w:eastAsia="zh-CN"/>
        </w:rPr>
        <w:t xml:space="preserve">Her Majesty's Theatre,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 xml:space="preserve">accessed 30 October 2024. </w:t>
      </w:r>
    </w:p>
    <w:p w14:paraId="5530BCAE">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fldChar w:fldCharType="begin"/>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instrText xml:space="preserve"> HYPERLINK "https://hmt.com.au/our-history/" </w:instrTex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serif" w:cs="Times New Roman Regular"/>
          <w:i w:val="0"/>
          <w:iCs w:val="0"/>
          <w:caps w:val="0"/>
          <w:spacing w:val="0"/>
          <w:kern w:val="0"/>
          <w:sz w:val="28"/>
          <w:szCs w:val="28"/>
          <w:shd w:val="clear" w:fill="FFFFFF"/>
          <w:lang w:val="en-US" w:eastAsia="zh-CN" w:bidi="ar"/>
        </w:rPr>
        <w:t>https://hmt.com.au/our-history/</w:t>
      </w: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fldChar w:fldCharType="end"/>
      </w:r>
    </w:p>
    <w:p w14:paraId="789B976D">
      <w:pPr>
        <w:keepNext w:val="0"/>
        <w:keepLines w:val="0"/>
        <w:pageBreakBefore w:val="0"/>
        <w:numPr>
          <w:numId w:val="0"/>
        </w:numPr>
        <w:kinsoku/>
        <w:wordWrap/>
        <w:overflowPunct/>
        <w:topLinePunct w:val="0"/>
        <w:autoSpaceDE/>
        <w:autoSpaceDN/>
        <w:bidi w:val="0"/>
        <w:adjustRightInd/>
        <w:snapToGrid/>
        <w:spacing w:line="480" w:lineRule="auto"/>
        <w:ind w:leftChars="0"/>
        <w:jc w:val="both"/>
        <w:textAlignment w:val="auto"/>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pPr>
    </w:p>
    <w:p w14:paraId="31A20732">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r>
        <w:rPr>
          <w:rFonts w:hint="default" w:ascii="Times New Roman Regular" w:hAnsi="Times New Roman Regular" w:eastAsia="宋体" w:cs="Times New Roman Regular"/>
          <w:i w:val="0"/>
          <w:kern w:val="0"/>
          <w:sz w:val="28"/>
          <w:szCs w:val="28"/>
          <w:lang w:val="en-US" w:eastAsia="zh-CN" w:bidi="ar"/>
        </w:rPr>
        <w:t xml:space="preserve">Missingham R and Hadley B (2022) ‘Oppression and allyship in Australia’s deaf arts’, </w:t>
      </w:r>
      <w:r>
        <w:rPr>
          <w:rFonts w:hint="default" w:ascii="Times New Roman Regular" w:hAnsi="Times New Roman Regular" w:eastAsia="宋体" w:cs="Times New Roman Regular"/>
          <w:i w:val="0"/>
          <w:iCs/>
          <w:kern w:val="0"/>
          <w:sz w:val="28"/>
          <w:szCs w:val="28"/>
          <w:lang w:val="en-US" w:eastAsia="zh-CN" w:bidi="ar"/>
        </w:rPr>
        <w:t>Australasian drama studies</w:t>
      </w:r>
      <w:r>
        <w:rPr>
          <w:rFonts w:hint="default" w:ascii="Times New Roman Regular" w:hAnsi="Times New Roman Regular" w:eastAsia="宋体" w:cs="Times New Roman Regular"/>
          <w:i w:val="0"/>
          <w:kern w:val="0"/>
          <w:sz w:val="28"/>
          <w:szCs w:val="28"/>
          <w:lang w:val="en-US" w:eastAsia="zh-CN" w:bidi="ar"/>
        </w:rPr>
        <w:t>, (80):304–332.</w:t>
      </w:r>
    </w:p>
    <w:p w14:paraId="2A693745">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1BAF43C6">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cs="Times New Roman Regular"/>
          <w:b w:val="0"/>
          <w:bCs/>
          <w:sz w:val="28"/>
          <w:szCs w:val="28"/>
          <w:lang w:val="en-US" w:eastAsia="zh-CN"/>
        </w:rPr>
      </w:pP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Oliver Payne (2022) </w: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t xml:space="preserve">Coldplay are giving Subpacs to deaf and hard of hearing fans at live shows,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 xml:space="preserve">Musictech, </w:t>
      </w:r>
      <w:r>
        <w:rPr>
          <w:rFonts w:hint="default" w:ascii="Times New Roman Regular" w:hAnsi="Times New Roman Regular" w:cs="Times New Roman Regular"/>
          <w:b w:val="0"/>
          <w:bCs/>
          <w:sz w:val="28"/>
          <w:szCs w:val="28"/>
          <w:lang w:val="en-US" w:eastAsia="zh-CN"/>
        </w:rPr>
        <w:t>accessed 30 October 2024.</w:t>
      </w:r>
    </w:p>
    <w:p w14:paraId="4C9A4734">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begin"/>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instrText xml:space="preserve"> HYPERLINK "https://musictech.com/news/events/coldplay-are-giving-subpacs-to-deaf-and-hard-of-hearing-fans-at-live-shows/" </w:instrTex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T" w:cs="Times New Roman Regular"/>
          <w:i w:val="0"/>
          <w:iCs w:val="0"/>
          <w:caps w:val="0"/>
          <w:spacing w:val="0"/>
          <w:kern w:val="0"/>
          <w:sz w:val="28"/>
          <w:szCs w:val="28"/>
          <w:shd w:val="clear" w:fill="FFFFFF"/>
          <w:lang w:val="en-US" w:eastAsia="zh-CN" w:bidi="ar"/>
        </w:rPr>
        <w:t>https://musictech.com/news/events/coldplay-are-giving-subpacs-to-deaf-and-hard-of-hearing-fans-at-live-shows/</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fldChar w:fldCharType="end"/>
      </w:r>
    </w:p>
    <w:p w14:paraId="1DB5251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p>
    <w:p w14:paraId="30C94D72">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pPr>
      <w:r>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t xml:space="preserve">Rebecca A Withey (2024) </w: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t xml:space="preserve">Rebecca A Withey: The growing acceptance for music within the deaf community (BSL), </w:t>
      </w:r>
      <w:r>
        <w:rPr>
          <w:rFonts w:hint="default" w:ascii="Times New Roman Regular" w:hAnsi="Times New Roman Regular" w:eastAsia="T" w:cs="Times New Roman Regular"/>
          <w:i w:val="0"/>
          <w:iCs w:val="0"/>
          <w:caps w:val="0"/>
          <w:color w:val="000000"/>
          <w:spacing w:val="0"/>
          <w:kern w:val="0"/>
          <w:sz w:val="28"/>
          <w:szCs w:val="28"/>
          <w:shd w:val="clear" w:fill="FFFFFF"/>
          <w:lang w:val="en-US" w:eastAsia="zh-CN" w:bidi="ar"/>
        </w:rPr>
        <w:t>The Limping Chicken, accessed 30 October 2024.</w:t>
      </w:r>
    </w:p>
    <w:p w14:paraId="0024FB4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pP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fldChar w:fldCharType="begin"/>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instrText xml:space="preserve"> HYPERLINK "https://limpingchicken.com/2024/05/02/rebecca-a-withey-the-growing-acceptance-for-music-within-the-deaf-community/" </w:instrTex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fldChar w:fldCharType="separate"/>
      </w:r>
      <w:r>
        <w:rPr>
          <w:rStyle w:val="6"/>
          <w:rFonts w:hint="default" w:ascii="Times New Roman Regular" w:hAnsi="Times New Roman Regular" w:eastAsia="T" w:cs="Times New Roman Regular"/>
          <w:i/>
          <w:iCs/>
          <w:caps w:val="0"/>
          <w:spacing w:val="0"/>
          <w:kern w:val="0"/>
          <w:sz w:val="28"/>
          <w:szCs w:val="28"/>
          <w:shd w:val="clear" w:fill="FFFFFF"/>
          <w:lang w:val="en-US" w:eastAsia="zh-CN" w:bidi="ar"/>
        </w:rPr>
        <w:t>https://limpingchicken.com/2024/05/02/rebecca-a-withey-the-growing-acceptance-for-music-within-the-deaf-community/</w:t>
      </w:r>
      <w:r>
        <w:rPr>
          <w:rFonts w:hint="default" w:ascii="Times New Roman Regular" w:hAnsi="Times New Roman Regular" w:eastAsia="T" w:cs="Times New Roman Regular"/>
          <w:i/>
          <w:iCs/>
          <w:caps w:val="0"/>
          <w:color w:val="000000"/>
          <w:spacing w:val="0"/>
          <w:kern w:val="0"/>
          <w:sz w:val="28"/>
          <w:szCs w:val="28"/>
          <w:shd w:val="clear" w:fill="FFFFFF"/>
          <w:lang w:val="en-US" w:eastAsia="zh-CN" w:bidi="ar"/>
        </w:rPr>
        <w:fldChar w:fldCharType="end"/>
      </w:r>
    </w:p>
    <w:p w14:paraId="4DDE62A4">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T" w:cs="Times New Roman Regular"/>
          <w:i/>
          <w:iCs/>
          <w:caps w:val="0"/>
          <w:color w:val="000000"/>
          <w:spacing w:val="0"/>
          <w:kern w:val="0"/>
          <w:sz w:val="25"/>
          <w:szCs w:val="25"/>
          <w:shd w:val="clear" w:fill="FFFFFF"/>
          <w:lang w:val="en-US" w:eastAsia="zh-CN" w:bidi="ar"/>
        </w:rPr>
      </w:pPr>
    </w:p>
    <w:p w14:paraId="5A55D01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r>
        <w:rPr>
          <w:rFonts w:hint="default" w:ascii="Times New Roman Regular" w:hAnsi="Times New Roman Regular" w:eastAsia="宋体" w:cs="Times New Roman Regular"/>
          <w:i w:val="0"/>
          <w:kern w:val="0"/>
          <w:sz w:val="28"/>
          <w:szCs w:val="28"/>
          <w:lang w:val="en-US" w:eastAsia="zh-CN" w:bidi="ar"/>
        </w:rPr>
        <w:t xml:space="preserve">Reynolds JH and VanWeelden K (2024) ‘Tips for Making Music Performances Sensory-Friendly and Inclusive’, </w:t>
      </w:r>
      <w:r>
        <w:rPr>
          <w:rFonts w:hint="default" w:ascii="Times New Roman Regular" w:hAnsi="Times New Roman Regular" w:eastAsia="宋体" w:cs="Times New Roman Regular"/>
          <w:i w:val="0"/>
          <w:iCs/>
          <w:kern w:val="0"/>
          <w:sz w:val="28"/>
          <w:szCs w:val="28"/>
          <w:lang w:val="en-US" w:eastAsia="zh-CN" w:bidi="ar"/>
        </w:rPr>
        <w:t>Journal of General Music Education</w:t>
      </w:r>
      <w:r>
        <w:rPr>
          <w:rFonts w:hint="default" w:ascii="Times New Roman Regular" w:hAnsi="Times New Roman Regular" w:eastAsia="宋体" w:cs="Times New Roman Regular"/>
          <w:i w:val="0"/>
          <w:kern w:val="0"/>
          <w:sz w:val="28"/>
          <w:szCs w:val="28"/>
          <w:lang w:val="en-US" w:eastAsia="zh-CN" w:bidi="ar"/>
        </w:rPr>
        <w:t>, 37(2):43–46, doi:10.1177/27527646231211704.</w:t>
      </w:r>
    </w:p>
    <w:p w14:paraId="2665B03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7DBCA43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r>
        <w:rPr>
          <w:rFonts w:hint="default" w:ascii="Times New Roman Regular" w:hAnsi="Times New Roman Regular" w:eastAsia="宋体" w:cs="Times New Roman Regular"/>
          <w:i w:val="0"/>
          <w:kern w:val="0"/>
          <w:sz w:val="28"/>
          <w:szCs w:val="28"/>
          <w:lang w:val="en-US" w:eastAsia="zh-CN" w:bidi="ar"/>
        </w:rPr>
        <w:t xml:space="preserve">Richardson M (2018) ‘The Sign Language Interpreted Performance: A Failure of Access Provision for Deaf Spectators’, </w:t>
      </w:r>
      <w:r>
        <w:rPr>
          <w:rFonts w:hint="default" w:ascii="Times New Roman Regular" w:hAnsi="Times New Roman Regular" w:eastAsia="宋体" w:cs="Times New Roman Regular"/>
          <w:i w:val="0"/>
          <w:iCs/>
          <w:kern w:val="0"/>
          <w:sz w:val="28"/>
          <w:szCs w:val="28"/>
          <w:lang w:val="en-US" w:eastAsia="zh-CN" w:bidi="ar"/>
        </w:rPr>
        <w:t>Theatre topics</w:t>
      </w:r>
      <w:r>
        <w:rPr>
          <w:rFonts w:hint="default" w:ascii="Times New Roman Regular" w:hAnsi="Times New Roman Regular" w:eastAsia="宋体" w:cs="Times New Roman Regular"/>
          <w:i w:val="0"/>
          <w:kern w:val="0"/>
          <w:sz w:val="28"/>
          <w:szCs w:val="28"/>
          <w:lang w:val="en-US" w:eastAsia="zh-CN" w:bidi="ar"/>
        </w:rPr>
        <w:t>, 28(1):63–74, doi:10.1353/tt.2018.0009.</w:t>
      </w:r>
    </w:p>
    <w:p w14:paraId="4F5CBBA0">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p>
    <w:p w14:paraId="6F84D970">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Regular" w:hAnsi="Times New Roman Regular" w:eastAsia="宋体" w:cs="Times New Roman Regular"/>
          <w:i w:val="0"/>
          <w:kern w:val="0"/>
          <w:sz w:val="28"/>
          <w:szCs w:val="28"/>
          <w:lang w:val="en-US" w:eastAsia="zh-CN" w:bidi="ar"/>
        </w:rPr>
      </w:pPr>
      <w:r>
        <w:rPr>
          <w:rFonts w:hint="default" w:ascii="Times New Roman Regular" w:hAnsi="Times New Roman Regular" w:eastAsia="宋体" w:cs="Times New Roman Regular"/>
          <w:i w:val="0"/>
          <w:kern w:val="0"/>
          <w:sz w:val="28"/>
          <w:szCs w:val="28"/>
          <w:lang w:val="en-US" w:eastAsia="zh-CN" w:bidi="ar"/>
        </w:rPr>
        <w:t xml:space="preserve">SCHMITT P (2017) ‘Representations of Sign Language, Deaf People, and Interpreters in the Arts and the Media’, </w:t>
      </w:r>
      <w:r>
        <w:rPr>
          <w:rFonts w:hint="default" w:ascii="Times New Roman Regular" w:hAnsi="Times New Roman Regular" w:eastAsia="宋体" w:cs="Times New Roman Regular"/>
          <w:i w:val="0"/>
          <w:iCs/>
          <w:kern w:val="0"/>
          <w:sz w:val="28"/>
          <w:szCs w:val="28"/>
          <w:lang w:val="en-US" w:eastAsia="zh-CN" w:bidi="ar"/>
        </w:rPr>
        <w:t>Sign language studies</w:t>
      </w:r>
      <w:r>
        <w:rPr>
          <w:rFonts w:hint="default" w:ascii="Times New Roman Regular" w:hAnsi="Times New Roman Regular" w:eastAsia="宋体" w:cs="Times New Roman Regular"/>
          <w:i w:val="0"/>
          <w:kern w:val="0"/>
          <w:sz w:val="28"/>
          <w:szCs w:val="28"/>
          <w:lang w:val="en-US" w:eastAsia="zh-CN" w:bidi="ar"/>
        </w:rPr>
        <w:t>, 18(1):130–147, doi:10.1353/sls.2017.0023.</w:t>
      </w:r>
    </w:p>
    <w:p w14:paraId="04E3C5AF">
      <w:pPr>
        <w:keepNext w:val="0"/>
        <w:keepLines w:val="0"/>
        <w:widowControl/>
        <w:suppressLineNumbers w:val="0"/>
        <w:jc w:val="left"/>
        <w:rPr>
          <w:rFonts w:hint="default" w:ascii="Times New Roman Regular" w:hAnsi="Times New Roman Regular" w:eastAsia="宋体" w:cs="Times New Roman Regular"/>
          <w:i w:val="0"/>
          <w:kern w:val="0"/>
          <w:sz w:val="28"/>
          <w:szCs w:val="28"/>
          <w:lang w:val="en-US" w:eastAsia="zh-CN" w:bidi="ar"/>
        </w:rPr>
      </w:pPr>
    </w:p>
    <w:p w14:paraId="1B69D482">
      <w:pPr>
        <w:keepNext w:val="0"/>
        <w:keepLines w:val="0"/>
        <w:widowControl/>
        <w:suppressLineNumbers w:val="0"/>
        <w:jc w:val="left"/>
        <w:rPr>
          <w:rFonts w:hint="default" w:ascii="Times New Roman Regular" w:hAnsi="Times New Roman Regular" w:eastAsia="宋体" w:cs="Times New Roman Regular"/>
          <w:i w:val="0"/>
          <w:kern w:val="0"/>
          <w:sz w:val="28"/>
          <w:szCs w:val="28"/>
          <w:lang w:val="en-US" w:eastAsia="zh-CN" w:bidi="ar"/>
        </w:rPr>
      </w:pPr>
    </w:p>
    <w:p w14:paraId="29224E4C">
      <w:pPr>
        <w:keepNext w:val="0"/>
        <w:keepLines w:val="0"/>
        <w:widowControl/>
        <w:suppressLineNumbers w:val="0"/>
        <w:jc w:val="left"/>
        <w:rPr>
          <w:rFonts w:hint="default" w:ascii="Times New Roman Regular" w:hAnsi="Times New Roman Regular" w:eastAsia="宋体" w:cs="Times New Roman Regular"/>
          <w:i w:val="0"/>
          <w:kern w:val="0"/>
          <w:sz w:val="28"/>
          <w:szCs w:val="28"/>
          <w:lang w:val="en-US" w:eastAsia="zh-CN" w:bidi="ar"/>
        </w:rPr>
      </w:pPr>
    </w:p>
    <w:p w14:paraId="0DBE9845">
      <w:pPr>
        <w:keepNext w:val="0"/>
        <w:keepLines w:val="0"/>
        <w:widowControl/>
        <w:suppressLineNumbers w:val="0"/>
        <w:jc w:val="left"/>
        <w:rPr>
          <w:rFonts w:hint="default" w:ascii="Times New Roman Regular" w:hAnsi="Times New Roman Regular" w:eastAsia="T" w:cs="Times New Roman Regular"/>
          <w:i/>
          <w:iCs/>
          <w:caps w:val="0"/>
          <w:color w:val="000000"/>
          <w:spacing w:val="0"/>
          <w:kern w:val="0"/>
          <w:sz w:val="25"/>
          <w:szCs w:val="25"/>
          <w:shd w:val="clear" w:fill="FFFFFF"/>
          <w:lang w:val="en-US" w:eastAsia="zh-CN" w:bidi="ar"/>
        </w:rPr>
      </w:pPr>
    </w:p>
    <w:p w14:paraId="57AFFCEA">
      <w:pPr>
        <w:numPr>
          <w:numId w:val="0"/>
        </w:numPr>
        <w:ind w:leftChars="0"/>
        <w:jc w:val="both"/>
        <w:rPr>
          <w:rFonts w:hint="default" w:ascii="Times New Roman Regular" w:hAnsi="Times New Roman Regular" w:eastAsia="serif" w:cs="Times New Roman Regular"/>
          <w:i w:val="0"/>
          <w:iCs w:val="0"/>
          <w:caps w:val="0"/>
          <w:color w:val="000000"/>
          <w:spacing w:val="0"/>
          <w:kern w:val="0"/>
          <w:sz w:val="28"/>
          <w:szCs w:val="28"/>
          <w:shd w:val="clear" w:fill="FFFFFF"/>
          <w:lang w:val="en-US" w:eastAsia="zh-CN" w:bidi="ar"/>
        </w:rPr>
      </w:pPr>
    </w:p>
    <w:p w14:paraId="3144AF70">
      <w:pPr>
        <w:numPr>
          <w:numId w:val="0"/>
        </w:numPr>
        <w:ind w:leftChars="0"/>
        <w:jc w:val="both"/>
        <w:rPr>
          <w:rFonts w:hint="default" w:ascii="Times New Roman" w:hAnsi="Times New Roman" w:cs="Times New Roman"/>
          <w:b w:val="0"/>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603050405020304"/>
    <w:charset w:val="00"/>
    <w:family w:val="auto"/>
    <w:pitch w:val="default"/>
    <w:sig w:usb0="E0002AEF" w:usb1="C0007841" w:usb2="00000009" w:usb3="00000000" w:csb0="400001FF" w:csb1="FFFF0000"/>
  </w:font>
  <w:font w:name="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Times New Roman Bold">
    <w:panose1 w:val="02020603050405020304"/>
    <w:charset w:val="00"/>
    <w:family w:val="auto"/>
    <w:pitch w:val="default"/>
    <w:sig w:usb0="E0002AEF" w:usb1="C0007841" w:usb2="00000009" w:usb3="00000000" w:csb0="400001FF" w:csb1="FFFF0000"/>
  </w:font>
  <w:font w:name="Montserrat">
    <w:altName w:val="苹方-简"/>
    <w:panose1 w:val="00000000000000000000"/>
    <w:charset w:val="00"/>
    <w:family w:val="auto"/>
    <w:pitch w:val="default"/>
    <w:sig w:usb0="00000000" w:usb1="00000000" w:usb2="00000000" w:usb3="00000000" w:csb0="00000000" w:csb1="00000000"/>
  </w:font>
  <w:font w:name="T">
    <w:altName w:val="苹方-简"/>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922E7"/>
    <w:multiLevelType w:val="singleLevel"/>
    <w:tmpl w:val="BBF922E7"/>
    <w:lvl w:ilvl="0" w:tentative="0">
      <w:start w:val="1"/>
      <w:numFmt w:val="decimal"/>
      <w:lvlText w:val="%1."/>
      <w:lvlJc w:val="left"/>
      <w:pPr>
        <w:tabs>
          <w:tab w:val="left" w:pos="312"/>
        </w:tabs>
      </w:pPr>
    </w:lvl>
  </w:abstractNum>
  <w:abstractNum w:abstractNumId="1">
    <w:nsid w:val="BFA275A9"/>
    <w:multiLevelType w:val="singleLevel"/>
    <w:tmpl w:val="BFA275A9"/>
    <w:lvl w:ilvl="0" w:tentative="0">
      <w:start w:val="1"/>
      <w:numFmt w:val="decimal"/>
      <w:suff w:val="space"/>
      <w:lvlText w:val="%1."/>
      <w:lvlJc w:val="left"/>
    </w:lvl>
  </w:abstractNum>
  <w:abstractNum w:abstractNumId="2">
    <w:nsid w:val="F5DF5D2F"/>
    <w:multiLevelType w:val="singleLevel"/>
    <w:tmpl w:val="F5DF5D2F"/>
    <w:lvl w:ilvl="0" w:tentative="0">
      <w:start w:val="1"/>
      <w:numFmt w:val="decimal"/>
      <w:suff w:val="space"/>
      <w:lvlText w:val="%1."/>
      <w:lvlJc w:val="left"/>
    </w:lvl>
  </w:abstractNum>
  <w:abstractNum w:abstractNumId="3">
    <w:nsid w:val="F6BACC82"/>
    <w:multiLevelType w:val="singleLevel"/>
    <w:tmpl w:val="F6BACC82"/>
    <w:lvl w:ilvl="0" w:tentative="0">
      <w:start w:val="1"/>
      <w:numFmt w:val="decimal"/>
      <w:suff w:val="space"/>
      <w:lvlText w:val="%1."/>
      <w:lvlJc w:val="left"/>
    </w:lvl>
  </w:abstractNum>
  <w:abstractNum w:abstractNumId="4">
    <w:nsid w:val="5FFB216B"/>
    <w:multiLevelType w:val="singleLevel"/>
    <w:tmpl w:val="5FFB216B"/>
    <w:lvl w:ilvl="0" w:tentative="0">
      <w:start w:val="1"/>
      <w:numFmt w:val="decimal"/>
      <w:lvlText w:val="%1."/>
      <w:lvlJc w:val="left"/>
      <w:pPr>
        <w:tabs>
          <w:tab w:val="left" w:pos="312"/>
        </w:tabs>
      </w:pPr>
    </w:lvl>
  </w:abstractNum>
  <w:abstractNum w:abstractNumId="5">
    <w:nsid w:val="79BB2F00"/>
    <w:multiLevelType w:val="singleLevel"/>
    <w:tmpl w:val="79BB2F00"/>
    <w:lvl w:ilvl="0" w:tentative="0">
      <w:start w:val="1"/>
      <w:numFmt w:val="decimal"/>
      <w:lvlText w:val="%1."/>
      <w:lvlJc w:val="left"/>
      <w:pPr>
        <w:tabs>
          <w:tab w:val="left" w:pos="312"/>
        </w:tabs>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C75C8F"/>
    <w:rsid w:val="1FD6E9E2"/>
    <w:rsid w:val="350179A8"/>
    <w:rsid w:val="3F5DA051"/>
    <w:rsid w:val="77DB342D"/>
    <w:rsid w:val="7BBF959B"/>
    <w:rsid w:val="9F49FDF0"/>
    <w:rsid w:val="BF73C5AC"/>
    <w:rsid w:val="BFDBE9C2"/>
    <w:rsid w:val="DFCB1ABE"/>
    <w:rsid w:val="E7C75C8F"/>
    <w:rsid w:val="EFB6B685"/>
    <w:rsid w:val="F6FF003A"/>
    <w:rsid w:val="F7ED8C18"/>
    <w:rsid w:val="FFFBD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93</TotalTime>
  <ScaleCrop>false</ScaleCrop>
  <LinksUpToDate>false</LinksUpToDate>
  <CharactersWithSpaces>0</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2024-11-02T22:34:00Z</dcterms:created>
  <dc:creator>believe</dc:creator>
  <cp:lastModifiedBy>believe</cp:lastModifiedBy>
  <dcterms:modified xsi:type="dcterms:W3CDTF">2024-11-03T18:52:32Z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E10C2C5E418E8256C02B276786A3ADF0_43</vt:lpwstr>
  </property>
</Properties>
</file>